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R4-2301746</w:t>
      </w:r>
      <w:bookmarkStart w:id="9" w:name="_GoBack"/>
      <w:bookmarkEnd w:id="9"/>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27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w:t>
      </w:r>
      <w:r>
        <w:rPr>
          <w:rFonts w:hint="eastAsia" w:ascii="Arial" w:hAnsi="Arial" w:cs="Arial"/>
          <w:b/>
          <w:bCs/>
          <w:sz w:val="24"/>
          <w:szCs w:val="24"/>
          <w:lang w:val="en-US" w:eastAsia="zh-CN"/>
        </w:rPr>
        <w:t>3</w:t>
      </w:r>
      <w:r>
        <w:rPr>
          <w:rFonts w:hint="eastAsia" w:ascii="Arial" w:hAnsi="Arial" w:cs="Arial"/>
          <w:b/>
          <w:bCs/>
          <w:sz w:val="24"/>
          <w:szCs w:val="24"/>
          <w:vertAlign w:val="superscript"/>
          <w:lang w:val="en-US" w:eastAsia="zh-CN"/>
        </w:rPr>
        <w:t>rd</w:t>
      </w:r>
      <w:r>
        <w:rPr>
          <w:rFonts w:ascii="Arial" w:hAnsi="Arial" w:cs="Arial"/>
          <w:b/>
          <w:bCs/>
          <w:sz w:val="24"/>
          <w:szCs w:val="24"/>
        </w:rPr>
        <w:t xml:space="preserve"> </w:t>
      </w:r>
      <w:r>
        <w:rPr>
          <w:rFonts w:hint="eastAsia" w:ascii="Arial" w:hAnsi="Arial" w:cs="Arial"/>
          <w:b/>
          <w:bCs/>
          <w:sz w:val="24"/>
          <w:szCs w:val="24"/>
          <w:lang w:val="en-US" w:eastAsia="zh-CN"/>
        </w:rPr>
        <w:t>Mar,</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lang w:val="en-US" w:eastAsia="zh-CN"/>
        </w:rPr>
        <w:t>.25.3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SAN RF requirements for NTN in Ka-band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eastAsia="宋体"/>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some further views on the SAN RF requirements for NTN in Ka-band.</w:t>
      </w:r>
    </w:p>
    <w:p>
      <w:pPr>
        <w:spacing w:after="0"/>
        <w:rPr>
          <w:bCs/>
        </w:rPr>
      </w:pPr>
      <w:r>
        <w:rPr>
          <w:bCs/>
        </w:rPr>
        <w:t>The following covers the objectives for NR-NTN deployment in above 10 GHz bands. This work is expected to start after June 2022.</w:t>
      </w: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1" w:name="_Hlk90540445"/>
      <w:r>
        <w:rPr>
          <w:bCs/>
        </w:rPr>
        <w:t>. The outcome is expected to be applicable to all NTN-TN adjacent band scenarios (if any) in the whole Ka band range where applicable and regulations allow.</w:t>
      </w:r>
      <w:bookmarkEnd w:id="1"/>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Pr>
          <w:bCs/>
        </w:rPr>
        <w:t xml:space="preserve">RP-211596 </w:t>
      </w:r>
      <w:bookmarkEnd w:id="2"/>
      <w:r>
        <w:rPr>
          <w:bCs/>
        </w:rPr>
        <w:t>in RAN#92-e) [RAN4]</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3"/>
      <w:bookmarkStart w:id="4" w:name="OLE_LINK10"/>
      <w:bookmarkStart w:id="5" w:name="OLE_LINK14"/>
      <w:bookmarkStart w:id="6"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Times New Roman" w:hAnsi="Times New Roman" w:eastAsia="宋体" w:cs="Times New Roman"/>
          <w:b/>
          <w:bCs/>
          <w:color w:val="auto"/>
          <w:sz w:val="20"/>
          <w:szCs w:val="22"/>
          <w:lang w:val="en-US" w:eastAsia="zh-CN"/>
        </w:rPr>
      </w:pPr>
      <w:r>
        <w:rPr>
          <w:rFonts w:hint="eastAsia" w:ascii="Arial" w:hAnsi="Arial" w:cs="Arial"/>
          <w:sz w:val="28"/>
          <w:szCs w:val="28"/>
          <w:lang w:val="en-US" w:eastAsia="zh-CN"/>
        </w:rPr>
        <w:t>2.1. NTN SAN type and SAN class</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eastAsia" w:cs="Times New Roman"/>
          <w:b w:val="0"/>
          <w:bCs w:val="0"/>
          <w:sz w:val="21"/>
          <w:szCs w:val="22"/>
          <w:highlight w:val="none"/>
          <w:lang w:val="en-US" w:eastAsia="zh-CN"/>
        </w:rPr>
      </w:pPr>
      <w:r>
        <w:rPr>
          <w:rFonts w:hint="eastAsia" w:cs="Times New Roman"/>
          <w:b w:val="0"/>
          <w:bCs w:val="0"/>
          <w:sz w:val="21"/>
          <w:szCs w:val="22"/>
          <w:highlight w:val="none"/>
          <w:lang w:val="en-US" w:eastAsia="zh-CN"/>
        </w:rPr>
        <w:t>In last RAN4 meeting, there were some further discussions on NTN SAN type and whether we need to define the conductive requirement for Ka-band. First of all, we want to clarify the motivation of defining OTA requirement only for TN FR2 BS in past. If there are any accessible connectors between antenna array and transceiver units, then the high insertion loss of connectors will result in the reduce output power and its corresponding coverage performance. Especially considering the limited output power of FR2 BS, then it was agreed to define the BS type 2-O only in FR2 TN network. After the initial check for antenna gain and EIRP density for LEO-1200km and LEO-600km SAN as following, it seem that EIRP level of LEO-1200km and LEO-600km is similar as FR2 WA BS with 30dB TRP and antenna array gain 28dBi assuming 8x16 antenna array. In other words, the impact on LEO SAN output power due to the insertion loss should be similar as that on TN FR2 WA BS, the impacts on its coverage needs further evaluations since NTN UE could be equipped with much large antenna array than handheld UE in FR2 TN network.</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r>
        <w:rPr>
          <w:rFonts w:hint="eastAsia" w:cs="Times New Roman"/>
          <w:b w:val="0"/>
          <w:bCs w:val="0"/>
          <w:sz w:val="21"/>
          <w:szCs w:val="22"/>
          <w:highlight w:val="none"/>
          <w:lang w:val="en-US" w:eastAsia="zh-CN"/>
        </w:rPr>
        <w:t>For LEO SAN:</w:t>
      </w:r>
    </w:p>
    <w:p>
      <w:pPr>
        <w:numPr>
          <w:ilvl w:val="0"/>
          <w:numId w:val="3"/>
        </w:numPr>
        <w:pBdr>
          <w:top w:val="none" w:color="auto" w:sz="0" w:space="0"/>
          <w:left w:val="none" w:color="auto" w:sz="0" w:space="0"/>
          <w:bottom w:val="single" w:color="auto" w:sz="4" w:space="0"/>
          <w:right w:val="none" w:color="auto" w:sz="0" w:space="0"/>
          <w:between w:val="none" w:color="auto" w:sz="0" w:space="0"/>
        </w:pBdr>
        <w:tabs>
          <w:tab w:val="left" w:pos="2127"/>
        </w:tabs>
        <w:ind w:left="420" w:hanging="420"/>
        <w:jc w:val="both"/>
        <w:outlineLvl w:val="9"/>
        <w:rPr>
          <w:rFonts w:hint="eastAsia" w:cs="Times New Roman"/>
          <w:b w:val="0"/>
          <w:bCs w:val="0"/>
          <w:sz w:val="21"/>
          <w:szCs w:val="22"/>
          <w:highlight w:val="none"/>
          <w:lang w:val="en-US" w:eastAsia="zh-CN"/>
        </w:rPr>
      </w:pPr>
      <w:r>
        <w:rPr>
          <w:rFonts w:hint="eastAsia" w:cs="Times New Roman"/>
          <w:b w:val="0"/>
          <w:bCs w:val="0"/>
          <w:sz w:val="21"/>
          <w:szCs w:val="22"/>
          <w:highlight w:val="none"/>
          <w:lang w:val="en-US" w:eastAsia="zh-CN"/>
        </w:rPr>
        <w:t>LEO-600km SAN EIRP =</w:t>
      </w:r>
      <w:r>
        <w:rPr>
          <w:rFonts w:hint="default" w:cs="Times New Roman"/>
          <w:b w:val="0"/>
          <w:bCs w:val="0"/>
          <w:sz w:val="21"/>
          <w:szCs w:val="22"/>
          <w:highlight w:val="none"/>
          <w:lang w:val="en-US" w:eastAsia="zh-CN"/>
        </w:rPr>
        <w:t>10*log10(4*10^3)+10*log10(100)</w:t>
      </w:r>
      <w:r>
        <w:rPr>
          <w:rFonts w:hint="eastAsia" w:cs="Times New Roman"/>
          <w:b w:val="0"/>
          <w:bCs w:val="0"/>
          <w:sz w:val="21"/>
          <w:szCs w:val="22"/>
          <w:highlight w:val="none"/>
          <w:lang w:val="en-US" w:eastAsia="zh-CN"/>
        </w:rPr>
        <w:t>=56dBm</w:t>
      </w:r>
    </w:p>
    <w:p>
      <w:pPr>
        <w:numPr>
          <w:ilvl w:val="0"/>
          <w:numId w:val="3"/>
        </w:numPr>
        <w:pBdr>
          <w:top w:val="none" w:color="auto" w:sz="0" w:space="0"/>
          <w:left w:val="none" w:color="auto" w:sz="0" w:space="0"/>
          <w:bottom w:val="single" w:color="auto" w:sz="4" w:space="0"/>
          <w:right w:val="none" w:color="auto" w:sz="0" w:space="0"/>
          <w:between w:val="none" w:color="auto" w:sz="0" w:space="0"/>
        </w:pBdr>
        <w:tabs>
          <w:tab w:val="left" w:pos="2127"/>
        </w:tabs>
        <w:ind w:left="420" w:hanging="420"/>
        <w:jc w:val="both"/>
        <w:outlineLvl w:val="9"/>
        <w:rPr>
          <w:rFonts w:hint="eastAsia" w:cs="Times New Roman"/>
          <w:b w:val="0"/>
          <w:bCs w:val="0"/>
          <w:sz w:val="21"/>
          <w:szCs w:val="22"/>
          <w:highlight w:val="none"/>
          <w:lang w:val="en-US" w:eastAsia="zh-CN"/>
        </w:rPr>
      </w:pPr>
      <w:r>
        <w:rPr>
          <w:rFonts w:hint="eastAsia" w:cs="Times New Roman"/>
          <w:b w:val="0"/>
          <w:bCs w:val="0"/>
          <w:sz w:val="21"/>
          <w:szCs w:val="22"/>
          <w:highlight w:val="none"/>
          <w:lang w:val="en-US" w:eastAsia="zh-CN"/>
        </w:rPr>
        <w:t>LEO-1200km SAN EIRP =</w:t>
      </w:r>
      <w:r>
        <w:rPr>
          <w:rFonts w:hint="default" w:cs="Times New Roman"/>
          <w:b w:val="0"/>
          <w:bCs w:val="0"/>
          <w:sz w:val="21"/>
          <w:szCs w:val="22"/>
          <w:highlight w:val="none"/>
          <w:lang w:val="en-US" w:eastAsia="zh-CN"/>
        </w:rPr>
        <w:t>10*log10(</w:t>
      </w:r>
      <w:r>
        <w:rPr>
          <w:rFonts w:hint="eastAsia" w:cs="Times New Roman"/>
          <w:b w:val="0"/>
          <w:bCs w:val="0"/>
          <w:sz w:val="21"/>
          <w:szCs w:val="22"/>
          <w:highlight w:val="none"/>
          <w:lang w:val="en-US" w:eastAsia="zh-CN"/>
        </w:rPr>
        <w:t>10</w:t>
      </w:r>
      <w:r>
        <w:rPr>
          <w:rFonts w:hint="default" w:cs="Times New Roman"/>
          <w:b w:val="0"/>
          <w:bCs w:val="0"/>
          <w:sz w:val="21"/>
          <w:szCs w:val="22"/>
          <w:highlight w:val="none"/>
          <w:lang w:val="en-US" w:eastAsia="zh-CN"/>
        </w:rPr>
        <w:t>*10^3)+10*log10(100)</w:t>
      </w:r>
      <w:r>
        <w:rPr>
          <w:rFonts w:hint="eastAsia" w:cs="Times New Roman"/>
          <w:b w:val="0"/>
          <w:bCs w:val="0"/>
          <w:sz w:val="21"/>
          <w:szCs w:val="22"/>
          <w:highlight w:val="none"/>
          <w:lang w:val="en-US" w:eastAsia="zh-CN"/>
        </w:rPr>
        <w:t>=60dBm</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eastAsia" w:cs="Times New Roman"/>
          <w:b w:val="0"/>
          <w:bCs w:val="0"/>
          <w:sz w:val="21"/>
          <w:szCs w:val="22"/>
          <w:highlight w:val="none"/>
          <w:lang w:val="en-US" w:eastAsia="zh-CN"/>
        </w:rPr>
      </w:pP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r>
        <w:rPr>
          <w:rFonts w:hint="eastAsia" w:cs="Times New Roman"/>
          <w:b w:val="0"/>
          <w:bCs w:val="0"/>
          <w:sz w:val="21"/>
          <w:szCs w:val="22"/>
          <w:highlight w:val="none"/>
          <w:lang w:val="en-US" w:eastAsia="zh-CN"/>
        </w:rPr>
        <w:t xml:space="preserve">For GEO SAN: </w:t>
      </w:r>
    </w:p>
    <w:p>
      <w:pPr>
        <w:numPr>
          <w:ilvl w:val="0"/>
          <w:numId w:val="3"/>
        </w:numPr>
        <w:pBdr>
          <w:top w:val="none" w:color="auto" w:sz="0" w:space="0"/>
          <w:left w:val="none" w:color="auto" w:sz="0" w:space="0"/>
          <w:bottom w:val="single" w:color="auto" w:sz="4" w:space="0"/>
          <w:right w:val="none" w:color="auto" w:sz="0" w:space="0"/>
          <w:between w:val="none" w:color="auto" w:sz="0" w:space="0"/>
        </w:pBdr>
        <w:tabs>
          <w:tab w:val="left" w:pos="2127"/>
        </w:tabs>
        <w:ind w:left="420" w:hanging="420"/>
        <w:jc w:val="both"/>
        <w:outlineLvl w:val="9"/>
        <w:rPr>
          <w:rFonts w:hint="eastAsia" w:cs="Times New Roman"/>
          <w:b w:val="0"/>
          <w:bCs w:val="0"/>
          <w:sz w:val="21"/>
          <w:szCs w:val="22"/>
          <w:highlight w:val="none"/>
          <w:lang w:val="en-US" w:eastAsia="zh-CN"/>
        </w:rPr>
      </w:pPr>
      <w:r>
        <w:rPr>
          <w:rFonts w:hint="eastAsia" w:cs="Times New Roman"/>
          <w:b w:val="0"/>
          <w:bCs w:val="0"/>
          <w:sz w:val="21"/>
          <w:szCs w:val="22"/>
          <w:highlight w:val="none"/>
          <w:lang w:val="en-US" w:eastAsia="zh-CN"/>
        </w:rPr>
        <w:t>GEO SAN EIRP =</w:t>
      </w:r>
      <w:r>
        <w:rPr>
          <w:rFonts w:hint="default" w:cs="Times New Roman"/>
          <w:b w:val="0"/>
          <w:bCs w:val="0"/>
          <w:sz w:val="21"/>
          <w:szCs w:val="22"/>
          <w:highlight w:val="none"/>
          <w:lang w:val="en-US" w:eastAsia="zh-CN"/>
        </w:rPr>
        <w:t>10*log10(</w:t>
      </w:r>
      <w:r>
        <w:rPr>
          <w:rFonts w:hint="eastAsia" w:cs="Times New Roman"/>
          <w:b w:val="0"/>
          <w:bCs w:val="0"/>
          <w:sz w:val="21"/>
          <w:szCs w:val="22"/>
          <w:highlight w:val="none"/>
          <w:lang w:val="en-US" w:eastAsia="zh-CN"/>
        </w:rPr>
        <w:t>40</w:t>
      </w:r>
      <w:r>
        <w:rPr>
          <w:rFonts w:hint="default" w:cs="Times New Roman"/>
          <w:b w:val="0"/>
          <w:bCs w:val="0"/>
          <w:sz w:val="21"/>
          <w:szCs w:val="22"/>
          <w:highlight w:val="none"/>
          <w:lang w:val="en-US" w:eastAsia="zh-CN"/>
        </w:rPr>
        <w:t>*10^3)+10*log10(100)</w:t>
      </w:r>
      <w:r>
        <w:rPr>
          <w:rFonts w:hint="eastAsia" w:cs="Times New Roman"/>
          <w:b w:val="0"/>
          <w:bCs w:val="0"/>
          <w:sz w:val="21"/>
          <w:szCs w:val="22"/>
          <w:highlight w:val="none"/>
          <w:lang w:val="en-US" w:eastAsia="zh-CN"/>
        </w:rPr>
        <w:t>=66dBm</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p>
    <w:p>
      <w:pPr>
        <w:pStyle w:val="34"/>
        <w:numPr>
          <w:ilvl w:val="0"/>
          <w:numId w:val="4"/>
        </w:numPr>
        <w:spacing w:after="120"/>
        <w:ind w:left="720"/>
        <w:rPr>
          <w:rFonts w:hint="eastAsia" w:cs="Times New Roman"/>
          <w:b w:val="0"/>
          <w:bCs w:val="0"/>
          <w:sz w:val="21"/>
          <w:szCs w:val="22"/>
          <w:highlight w:val="none"/>
          <w:lang w:val="en-US" w:eastAsia="zh-CN"/>
        </w:rPr>
      </w:pPr>
      <w:r>
        <w:rPr>
          <w:bCs/>
        </w:rPr>
        <w:t xml:space="preserve">Agreement: </w:t>
      </w:r>
      <w:r>
        <w:rPr>
          <w:bCs/>
          <w:highlight w:val="green"/>
        </w:rPr>
        <w:t>Introduce Type 2-O radiated requirements and FFS for conductive requirements for Ka band/above 10GHz.</w:t>
      </w: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r>
        <w:rPr>
          <w:rFonts w:hint="eastAsia" w:cs="Times New Roman"/>
          <w:b/>
          <w:bCs/>
          <w:sz w:val="21"/>
          <w:szCs w:val="22"/>
          <w:highlight w:val="none"/>
          <w:lang w:val="en-US" w:eastAsia="zh-CN"/>
        </w:rPr>
        <w:t>Proposal 1:</w:t>
      </w:r>
      <w:r>
        <w:rPr>
          <w:rFonts w:hint="eastAsia" w:cs="Times New Roman"/>
          <w:b w:val="0"/>
          <w:bCs w:val="0"/>
          <w:sz w:val="21"/>
          <w:szCs w:val="22"/>
          <w:highlight w:val="none"/>
          <w:lang w:val="en-US" w:eastAsia="zh-CN"/>
        </w:rPr>
        <w:t xml:space="preserve"> if the conductive requirements to be defined for Ka-band NTN SAN, the impact of insertion loss and link budget should be further clarified.</w:t>
      </w:r>
    </w:p>
    <w:p>
      <w:pPr>
        <w:pStyle w:val="45"/>
        <w:rPr>
          <w:rFonts w:hint="default" w:eastAsia="宋体"/>
          <w:lang w:val="en-US" w:eastAsia="zh-CN"/>
        </w:rPr>
      </w:pPr>
      <w:r>
        <w:t xml:space="preserve">Table </w:t>
      </w:r>
      <w:r>
        <w:rPr>
          <w:rFonts w:hint="eastAsia"/>
          <w:lang w:val="en-US" w:eastAsia="zh-CN"/>
        </w:rPr>
        <w:t>2</w:t>
      </w:r>
      <w:r>
        <w:t xml:space="preserve">.1-1: Set-1 satellite parameters for system level </w:t>
      </w:r>
      <w:r>
        <w:rPr>
          <w:rFonts w:hint="eastAsia"/>
          <w:lang w:val="en-US" w:eastAsia="zh-CN"/>
        </w:rPr>
        <w:t>simulation</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1"/>
        <w:gridCol w:w="1133"/>
        <w:gridCol w:w="2014"/>
        <w:gridCol w:w="2074"/>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6"/>
            </w:pPr>
            <w:r>
              <w:t>Satellite orbit</w:t>
            </w:r>
          </w:p>
        </w:tc>
        <w:tc>
          <w:tcPr>
            <w:tcW w:w="1723" w:type="dxa"/>
            <w:noWrap w:val="0"/>
            <w:vAlign w:val="center"/>
          </w:tcPr>
          <w:p>
            <w:pPr>
              <w:pStyle w:val="36"/>
            </w:pPr>
            <w:r>
              <w:t>GEO</w:t>
            </w:r>
          </w:p>
        </w:tc>
        <w:tc>
          <w:tcPr>
            <w:tcW w:w="1774" w:type="dxa"/>
            <w:noWrap w:val="0"/>
            <w:vAlign w:val="center"/>
          </w:tcPr>
          <w:p>
            <w:pPr>
              <w:pStyle w:val="36"/>
            </w:pPr>
            <w:r>
              <w:t>LEO-1200</w:t>
            </w:r>
          </w:p>
        </w:tc>
        <w:tc>
          <w:tcPr>
            <w:tcW w:w="1746" w:type="dxa"/>
            <w:noWrap w:val="0"/>
            <w:vAlign w:val="center"/>
          </w:tcPr>
          <w:p>
            <w:pPr>
              <w:pStyle w:val="36"/>
            </w:pPr>
            <w: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6"/>
            </w:pPr>
            <w:r>
              <w:t>Satellite altitude</w:t>
            </w:r>
          </w:p>
        </w:tc>
        <w:tc>
          <w:tcPr>
            <w:tcW w:w="1723" w:type="dxa"/>
            <w:noWrap w:val="0"/>
            <w:vAlign w:val="center"/>
          </w:tcPr>
          <w:p>
            <w:pPr>
              <w:pStyle w:val="36"/>
            </w:pPr>
            <w:r>
              <w:t>35786 km</w:t>
            </w:r>
          </w:p>
        </w:tc>
        <w:tc>
          <w:tcPr>
            <w:tcW w:w="1774" w:type="dxa"/>
            <w:noWrap w:val="0"/>
            <w:vAlign w:val="center"/>
          </w:tcPr>
          <w:p>
            <w:pPr>
              <w:pStyle w:val="36"/>
            </w:pPr>
            <w:r>
              <w:t>1200 km</w:t>
            </w:r>
          </w:p>
        </w:tc>
        <w:tc>
          <w:tcPr>
            <w:tcW w:w="1746" w:type="dxa"/>
            <w:noWrap w:val="0"/>
            <w:vAlign w:val="center"/>
          </w:tcPr>
          <w:p>
            <w:pPr>
              <w:pStyle w:val="36"/>
            </w:pPr>
            <w: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gridSpan w:val="2"/>
            <w:noWrap w:val="0"/>
            <w:vAlign w:val="center"/>
          </w:tcPr>
          <w:p>
            <w:pPr>
              <w:pStyle w:val="36"/>
            </w:pPr>
            <w:r>
              <w:t>Satellite antenna pattern</w:t>
            </w:r>
          </w:p>
        </w:tc>
        <w:tc>
          <w:tcPr>
            <w:tcW w:w="1723" w:type="dxa"/>
            <w:noWrap w:val="0"/>
            <w:vAlign w:val="center"/>
          </w:tcPr>
          <w:p>
            <w:pPr>
              <w:pStyle w:val="36"/>
            </w:pPr>
            <w:r>
              <w:t>Section 6.4.1 in [2]</w:t>
            </w:r>
          </w:p>
        </w:tc>
        <w:tc>
          <w:tcPr>
            <w:tcW w:w="1774" w:type="dxa"/>
            <w:noWrap w:val="0"/>
            <w:vAlign w:val="center"/>
          </w:tcPr>
          <w:p>
            <w:pPr>
              <w:pStyle w:val="36"/>
            </w:pPr>
            <w:r>
              <w:t>Section 6.4.1 in [2]</w:t>
            </w:r>
          </w:p>
        </w:tc>
        <w:tc>
          <w:tcPr>
            <w:tcW w:w="1746" w:type="dxa"/>
            <w:noWrap w:val="0"/>
            <w:vAlign w:val="center"/>
          </w:tcPr>
          <w:p>
            <w:pPr>
              <w:pStyle w:val="36"/>
            </w:pPr>
            <w:r>
              <w:t>Section 6.4.1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36"/>
            </w:pPr>
            <w: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Equivalent satellite antenna aperture (Note 1)</w:t>
            </w:r>
          </w:p>
        </w:tc>
        <w:tc>
          <w:tcPr>
            <w:tcW w:w="969" w:type="dxa"/>
            <w:vMerge w:val="restart"/>
            <w:noWrap w:val="0"/>
            <w:vAlign w:val="center"/>
          </w:tcPr>
          <w:p>
            <w:pPr>
              <w:pStyle w:val="36"/>
            </w:pPr>
            <w:r>
              <w:t>Ka-band</w:t>
            </w:r>
          </w:p>
          <w:p>
            <w:pPr>
              <w:pStyle w:val="36"/>
            </w:pPr>
            <w:r>
              <w:t>(i.e. 20 GHz for DL)</w:t>
            </w:r>
          </w:p>
        </w:tc>
        <w:tc>
          <w:tcPr>
            <w:tcW w:w="1723" w:type="dxa"/>
            <w:noWrap w:val="0"/>
            <w:vAlign w:val="center"/>
          </w:tcPr>
          <w:p>
            <w:pPr>
              <w:pStyle w:val="36"/>
            </w:pPr>
            <w:r>
              <w:t>5 m</w:t>
            </w:r>
          </w:p>
        </w:tc>
        <w:tc>
          <w:tcPr>
            <w:tcW w:w="1774" w:type="dxa"/>
            <w:noWrap w:val="0"/>
            <w:vAlign w:val="center"/>
          </w:tcPr>
          <w:p>
            <w:pPr>
              <w:pStyle w:val="36"/>
            </w:pPr>
            <w:r>
              <w:t>0.5 m</w:t>
            </w:r>
          </w:p>
        </w:tc>
        <w:tc>
          <w:tcPr>
            <w:tcW w:w="1746" w:type="dxa"/>
            <w:noWrap w:val="0"/>
            <w:vAlign w:val="center"/>
          </w:tcPr>
          <w:p>
            <w:pPr>
              <w:pStyle w:val="36"/>
            </w:pPr>
            <w:r>
              <w:t>0.5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EIRP density</w:t>
            </w:r>
          </w:p>
        </w:tc>
        <w:tc>
          <w:tcPr>
            <w:tcW w:w="969" w:type="dxa"/>
            <w:vMerge w:val="continue"/>
            <w:noWrap w:val="0"/>
            <w:vAlign w:val="center"/>
          </w:tcPr>
          <w:p>
            <w:pPr>
              <w:pStyle w:val="36"/>
            </w:pPr>
          </w:p>
        </w:tc>
        <w:tc>
          <w:tcPr>
            <w:tcW w:w="1723" w:type="dxa"/>
            <w:noWrap w:val="0"/>
            <w:vAlign w:val="center"/>
          </w:tcPr>
          <w:p>
            <w:pPr>
              <w:pStyle w:val="36"/>
              <w:rPr>
                <w:rFonts w:hint="default" w:eastAsia="宋体"/>
                <w:lang w:val="en-US" w:eastAsia="zh-CN"/>
              </w:rPr>
            </w:pPr>
            <w:r>
              <w:rPr>
                <w:highlight w:val="yellow"/>
              </w:rPr>
              <w:t>40 dBW/MHz</w:t>
            </w:r>
            <w:r>
              <w:rPr>
                <w:rFonts w:hint="eastAsia" w:eastAsia="宋体"/>
                <w:highlight w:val="yellow"/>
                <w:lang w:val="en-US" w:eastAsia="zh-CN"/>
              </w:rPr>
              <w:t xml:space="preserve"> ? or 50dBW/MHz</w:t>
            </w:r>
          </w:p>
        </w:tc>
        <w:tc>
          <w:tcPr>
            <w:tcW w:w="1774" w:type="dxa"/>
            <w:noWrap w:val="0"/>
            <w:vAlign w:val="center"/>
          </w:tcPr>
          <w:p>
            <w:pPr>
              <w:pStyle w:val="36"/>
            </w:pPr>
            <w:r>
              <w:t>10 dBW/MHz</w:t>
            </w:r>
          </w:p>
        </w:tc>
        <w:tc>
          <w:tcPr>
            <w:tcW w:w="1746" w:type="dxa"/>
            <w:noWrap w:val="0"/>
            <w:vAlign w:val="center"/>
          </w:tcPr>
          <w:p>
            <w:pPr>
              <w:pStyle w:val="36"/>
            </w:pPr>
            <w:r>
              <w:t>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Tx max Gain</w:t>
            </w:r>
          </w:p>
        </w:tc>
        <w:tc>
          <w:tcPr>
            <w:tcW w:w="969" w:type="dxa"/>
            <w:vMerge w:val="continue"/>
            <w:noWrap w:val="0"/>
            <w:vAlign w:val="center"/>
          </w:tcPr>
          <w:p>
            <w:pPr>
              <w:pStyle w:val="36"/>
            </w:pPr>
          </w:p>
        </w:tc>
        <w:tc>
          <w:tcPr>
            <w:tcW w:w="1723" w:type="dxa"/>
            <w:noWrap w:val="0"/>
            <w:vAlign w:val="center"/>
          </w:tcPr>
          <w:p>
            <w:pPr>
              <w:pStyle w:val="36"/>
            </w:pPr>
            <w:r>
              <w:t>58.5 dBi</w:t>
            </w:r>
          </w:p>
        </w:tc>
        <w:tc>
          <w:tcPr>
            <w:tcW w:w="1774" w:type="dxa"/>
            <w:noWrap w:val="0"/>
            <w:vAlign w:val="center"/>
          </w:tcPr>
          <w:p>
            <w:pPr>
              <w:pStyle w:val="36"/>
            </w:pPr>
            <w:r>
              <w:t>38.5 dBi</w:t>
            </w:r>
          </w:p>
        </w:tc>
        <w:tc>
          <w:tcPr>
            <w:tcW w:w="1746" w:type="dxa"/>
            <w:noWrap w:val="0"/>
            <w:vAlign w:val="center"/>
          </w:tcPr>
          <w:p>
            <w:pPr>
              <w:pStyle w:val="36"/>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3dB beamwidth</w:t>
            </w:r>
          </w:p>
        </w:tc>
        <w:tc>
          <w:tcPr>
            <w:tcW w:w="969" w:type="dxa"/>
            <w:vMerge w:val="continue"/>
            <w:noWrap w:val="0"/>
            <w:vAlign w:val="center"/>
          </w:tcPr>
          <w:p>
            <w:pPr>
              <w:pStyle w:val="36"/>
            </w:pPr>
          </w:p>
        </w:tc>
        <w:tc>
          <w:tcPr>
            <w:tcW w:w="1723" w:type="dxa"/>
            <w:noWrap w:val="0"/>
            <w:vAlign w:val="center"/>
          </w:tcPr>
          <w:p>
            <w:pPr>
              <w:pStyle w:val="36"/>
            </w:pPr>
            <w:r>
              <w:t>0.1765 deg</w:t>
            </w:r>
          </w:p>
        </w:tc>
        <w:tc>
          <w:tcPr>
            <w:tcW w:w="1774" w:type="dxa"/>
            <w:noWrap w:val="0"/>
            <w:vAlign w:val="center"/>
          </w:tcPr>
          <w:p>
            <w:pPr>
              <w:pStyle w:val="36"/>
            </w:pPr>
            <w:r>
              <w:t>1.7647 deg</w:t>
            </w:r>
          </w:p>
        </w:tc>
        <w:tc>
          <w:tcPr>
            <w:tcW w:w="1746" w:type="dxa"/>
            <w:noWrap w:val="0"/>
            <w:vAlign w:val="center"/>
          </w:tcPr>
          <w:p>
            <w:pPr>
              <w:pStyle w:val="36"/>
            </w:pPr>
            <w:r>
              <w:t>1.7647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beam diameter (Note 2)</w:t>
            </w:r>
          </w:p>
        </w:tc>
        <w:tc>
          <w:tcPr>
            <w:tcW w:w="969" w:type="dxa"/>
            <w:vMerge w:val="continue"/>
            <w:noWrap w:val="0"/>
            <w:vAlign w:val="center"/>
          </w:tcPr>
          <w:p>
            <w:pPr>
              <w:pStyle w:val="36"/>
            </w:pPr>
          </w:p>
        </w:tc>
        <w:tc>
          <w:tcPr>
            <w:tcW w:w="1723" w:type="dxa"/>
            <w:noWrap w:val="0"/>
            <w:vAlign w:val="center"/>
          </w:tcPr>
          <w:p>
            <w:pPr>
              <w:pStyle w:val="36"/>
            </w:pPr>
            <w:r>
              <w:t>110 km</w:t>
            </w:r>
          </w:p>
        </w:tc>
        <w:tc>
          <w:tcPr>
            <w:tcW w:w="1774" w:type="dxa"/>
            <w:noWrap w:val="0"/>
            <w:vAlign w:val="center"/>
          </w:tcPr>
          <w:p>
            <w:pPr>
              <w:pStyle w:val="36"/>
            </w:pPr>
            <w:r>
              <w:t>40 km</w:t>
            </w:r>
          </w:p>
        </w:tc>
        <w:tc>
          <w:tcPr>
            <w:tcW w:w="1746" w:type="dxa"/>
            <w:noWrap w:val="0"/>
            <w:vAlign w:val="center"/>
          </w:tcPr>
          <w:p>
            <w:pPr>
              <w:pStyle w:val="36"/>
            </w:pPr>
            <w:r>
              <w:t>20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36"/>
            </w:pPr>
            <w:r>
              <w:t>Payload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Equivalent satellite antenna aperture (Note1)</w:t>
            </w:r>
          </w:p>
        </w:tc>
        <w:tc>
          <w:tcPr>
            <w:tcW w:w="969" w:type="dxa"/>
            <w:vMerge w:val="restart"/>
            <w:noWrap w:val="0"/>
            <w:vAlign w:val="center"/>
          </w:tcPr>
          <w:p>
            <w:pPr>
              <w:pStyle w:val="36"/>
            </w:pPr>
            <w:r>
              <w:t>Ka-band (i.e. 30 GHz for UL)</w:t>
            </w:r>
          </w:p>
        </w:tc>
        <w:tc>
          <w:tcPr>
            <w:tcW w:w="1723" w:type="dxa"/>
            <w:noWrap w:val="0"/>
            <w:vAlign w:val="center"/>
          </w:tcPr>
          <w:p>
            <w:pPr>
              <w:pStyle w:val="36"/>
            </w:pPr>
            <w:r>
              <w:t>3.33 m</w:t>
            </w:r>
          </w:p>
        </w:tc>
        <w:tc>
          <w:tcPr>
            <w:tcW w:w="1774" w:type="dxa"/>
            <w:noWrap w:val="0"/>
            <w:vAlign w:val="center"/>
          </w:tcPr>
          <w:p>
            <w:pPr>
              <w:pStyle w:val="36"/>
            </w:pPr>
            <w:r>
              <w:t>0.33 m</w:t>
            </w:r>
          </w:p>
        </w:tc>
        <w:tc>
          <w:tcPr>
            <w:tcW w:w="1746" w:type="dxa"/>
            <w:noWrap w:val="0"/>
            <w:vAlign w:val="center"/>
          </w:tcPr>
          <w:p>
            <w:pPr>
              <w:pStyle w:val="36"/>
            </w:pPr>
            <w:r>
              <w:t>0.33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G/T</w:t>
            </w:r>
          </w:p>
        </w:tc>
        <w:tc>
          <w:tcPr>
            <w:tcW w:w="969" w:type="dxa"/>
            <w:vMerge w:val="continue"/>
            <w:noWrap w:val="0"/>
            <w:vAlign w:val="center"/>
          </w:tcPr>
          <w:p>
            <w:pPr>
              <w:pStyle w:val="36"/>
            </w:pPr>
          </w:p>
        </w:tc>
        <w:tc>
          <w:tcPr>
            <w:tcW w:w="1723" w:type="dxa"/>
            <w:noWrap w:val="0"/>
            <w:vAlign w:val="center"/>
          </w:tcPr>
          <w:p>
            <w:pPr>
              <w:pStyle w:val="36"/>
            </w:pPr>
            <w:r>
              <w:t>28 dB K</w:t>
            </w:r>
            <w:r>
              <w:rPr>
                <w:vertAlign w:val="superscript"/>
              </w:rPr>
              <w:t>-1</w:t>
            </w:r>
          </w:p>
        </w:tc>
        <w:tc>
          <w:tcPr>
            <w:tcW w:w="1774" w:type="dxa"/>
            <w:noWrap w:val="0"/>
            <w:vAlign w:val="center"/>
          </w:tcPr>
          <w:p>
            <w:pPr>
              <w:pStyle w:val="36"/>
            </w:pPr>
            <w:r>
              <w:t>13 dB K</w:t>
            </w:r>
            <w:r>
              <w:rPr>
                <w:vertAlign w:val="superscript"/>
              </w:rPr>
              <w:t>-1</w:t>
            </w:r>
          </w:p>
        </w:tc>
        <w:tc>
          <w:tcPr>
            <w:tcW w:w="1746" w:type="dxa"/>
            <w:noWrap w:val="0"/>
            <w:vAlign w:val="center"/>
          </w:tcPr>
          <w:p>
            <w:pPr>
              <w:pStyle w:val="36"/>
            </w:pPr>
            <w:r>
              <w:t>13 dB K</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1" w:type="dxa"/>
            <w:noWrap w:val="0"/>
            <w:vAlign w:val="center"/>
          </w:tcPr>
          <w:p>
            <w:pPr>
              <w:pStyle w:val="36"/>
            </w:pPr>
            <w:r>
              <w:t>Satellite RX max Gain</w:t>
            </w:r>
          </w:p>
        </w:tc>
        <w:tc>
          <w:tcPr>
            <w:tcW w:w="969" w:type="dxa"/>
            <w:vMerge w:val="continue"/>
            <w:noWrap w:val="0"/>
            <w:vAlign w:val="center"/>
          </w:tcPr>
          <w:p>
            <w:pPr>
              <w:pStyle w:val="36"/>
            </w:pPr>
          </w:p>
        </w:tc>
        <w:tc>
          <w:tcPr>
            <w:tcW w:w="1723" w:type="dxa"/>
            <w:noWrap w:val="0"/>
            <w:vAlign w:val="center"/>
          </w:tcPr>
          <w:p>
            <w:pPr>
              <w:pStyle w:val="36"/>
            </w:pPr>
            <w:r>
              <w:t>58.5 dBi</w:t>
            </w:r>
          </w:p>
        </w:tc>
        <w:tc>
          <w:tcPr>
            <w:tcW w:w="1774" w:type="dxa"/>
            <w:noWrap w:val="0"/>
            <w:vAlign w:val="center"/>
          </w:tcPr>
          <w:p>
            <w:pPr>
              <w:pStyle w:val="36"/>
            </w:pPr>
            <w:r>
              <w:t>38.5 dBi</w:t>
            </w:r>
          </w:p>
        </w:tc>
        <w:tc>
          <w:tcPr>
            <w:tcW w:w="1746" w:type="dxa"/>
            <w:noWrap w:val="0"/>
            <w:vAlign w:val="center"/>
          </w:tcPr>
          <w:p>
            <w:pPr>
              <w:pStyle w:val="36"/>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3" w:type="dxa"/>
            <w:gridSpan w:val="5"/>
            <w:noWrap w:val="0"/>
            <w:vAlign w:val="center"/>
          </w:tcPr>
          <w:p>
            <w:pPr>
              <w:pStyle w:val="48"/>
            </w:pPr>
            <w:r>
              <w:t>NOTE 1: This value is equivalent to the antenna diameter in Sec. 6.4.1 of [2].</w:t>
            </w:r>
          </w:p>
          <w:p>
            <w:pPr>
              <w:pStyle w:val="48"/>
            </w:pPr>
            <w:r>
              <w:t xml:space="preserve">NOTE 2: This beam size refers to the Nadir pointing of the satellite </w:t>
            </w:r>
          </w:p>
          <w:p>
            <w:pPr>
              <w:pStyle w:val="48"/>
            </w:pPr>
            <w:r>
              <w:t>NOTE 3: All these satellite parameters are applied per beam.</w:t>
            </w:r>
          </w:p>
          <w:p>
            <w:pPr>
              <w:pStyle w:val="48"/>
            </w:pPr>
            <w:r>
              <w:t>NOTE 4: The EIRP density values are considered identical for all frequency re-use factor options.</w:t>
            </w:r>
          </w:p>
          <w:p>
            <w:pPr>
              <w:pStyle w:val="48"/>
            </w:pPr>
            <w:r>
              <w:t>NOTE 5: The EIRP density values are provided assuming the satellite HPA is operated with a back-off of [5] dB.</w:t>
            </w:r>
          </w:p>
        </w:tc>
      </w:tr>
    </w:tbl>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cs="Times New Roman"/>
          <w:b w:val="0"/>
          <w:bCs w:val="0"/>
          <w:sz w:val="21"/>
          <w:szCs w:val="22"/>
          <w:highlight w:val="none"/>
          <w:lang w:val="en-US" w:eastAsia="zh-CN"/>
        </w:rPr>
      </w:pPr>
    </w:p>
    <w:p>
      <w:pPr>
        <w:pBdr>
          <w:top w:val="none" w:color="auto" w:sz="0" w:space="0"/>
          <w:left w:val="none" w:color="auto" w:sz="0" w:space="0"/>
          <w:bottom w:val="single" w:color="auto" w:sz="4" w:space="0"/>
          <w:right w:val="none" w:color="auto" w:sz="0" w:space="0"/>
          <w:between w:val="none" w:color="auto" w:sz="0" w:space="0"/>
        </w:pBdr>
        <w:tabs>
          <w:tab w:val="left" w:pos="2127"/>
        </w:tabs>
        <w:jc w:val="both"/>
        <w:outlineLvl w:val="9"/>
        <w:rPr>
          <w:rFonts w:hint="default" w:eastAsia="宋体" w:cs="Times New Roman"/>
          <w:b w:val="0"/>
          <w:bCs w:val="0"/>
          <w:sz w:val="21"/>
          <w:szCs w:val="22"/>
          <w:highlight w:val="none"/>
          <w:lang w:val="en-US" w:eastAsia="zh-CN"/>
        </w:rPr>
      </w:pPr>
      <w:r>
        <w:rPr>
          <w:rFonts w:hint="eastAsia" w:cs="Times New Roman"/>
          <w:b w:val="0"/>
          <w:bCs w:val="0"/>
          <w:sz w:val="21"/>
          <w:szCs w:val="22"/>
          <w:highlight w:val="none"/>
          <w:lang w:val="en-US" w:eastAsia="zh-CN"/>
        </w:rPr>
        <w:t xml:space="preserve">Note: </w:t>
      </w:r>
      <w:r>
        <w:t>Satellite Tx max Gain</w:t>
      </w:r>
      <w:r>
        <w:rPr>
          <w:rFonts w:hint="eastAsia"/>
          <w:lang w:val="en-US" w:eastAsia="zh-CN"/>
        </w:rPr>
        <w:t xml:space="preserve"> is aligned with antenna aperture, however the EIRP (40dBW/MHz)is not aligned with antenna aperture, more clarification are needed.</w:t>
      </w:r>
    </w:p>
    <w:p>
      <w:pPr>
        <w:jc w:val="center"/>
        <w:rPr>
          <w:rFonts w:hint="eastAsia" w:ascii="Times New Roman" w:hAnsi="Times New Roman" w:eastAsia="宋体" w:cs="Times New Roman"/>
          <w:b/>
          <w:bCs/>
          <w:color w:val="auto"/>
          <w:sz w:val="20"/>
          <w:szCs w:val="22"/>
          <w:lang w:val="en-US" w:eastAsia="zh-CN"/>
        </w:rPr>
      </w:pPr>
    </w:p>
    <w:p>
      <w:pPr>
        <w:jc w:val="left"/>
        <w:outlineLvl w:val="1"/>
        <w:rPr>
          <w:rFonts w:hint="eastAsia" w:ascii="Times New Roman" w:hAnsi="Times New Roman" w:eastAsia="宋体" w:cs="Times New Roman"/>
          <w:b/>
          <w:bCs/>
          <w:color w:val="auto"/>
          <w:sz w:val="20"/>
          <w:szCs w:val="22"/>
          <w:lang w:val="en-US" w:eastAsia="zh-CN"/>
        </w:rPr>
      </w:pPr>
      <w:r>
        <w:rPr>
          <w:rFonts w:hint="eastAsia" w:ascii="Arial" w:hAnsi="Arial" w:cs="Arial"/>
          <w:sz w:val="28"/>
          <w:szCs w:val="28"/>
          <w:lang w:val="en-US" w:eastAsia="zh-CN"/>
        </w:rPr>
        <w:t>2.2. NTN SAN RF requirements</w:t>
      </w:r>
    </w:p>
    <w:p>
      <w:pPr>
        <w:jc w:val="cente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Table</w:t>
      </w:r>
      <w:r>
        <w:rPr>
          <w:rFonts w:hint="eastAsia" w:cs="Times New Roman"/>
          <w:b/>
          <w:bCs/>
          <w:color w:val="auto"/>
          <w:sz w:val="20"/>
          <w:szCs w:val="22"/>
          <w:lang w:val="en-US" w:eastAsia="zh-CN"/>
        </w:rPr>
        <w:t xml:space="preserve"> 2.2-</w:t>
      </w:r>
      <w:r>
        <w:rPr>
          <w:rFonts w:hint="eastAsia" w:ascii="Times New Roman" w:hAnsi="Times New Roman" w:eastAsia="宋体" w:cs="Times New Roman"/>
          <w:b/>
          <w:bCs/>
          <w:color w:val="auto"/>
          <w:sz w:val="20"/>
          <w:szCs w:val="22"/>
          <w:lang w:val="en-US" w:eastAsia="zh-CN"/>
        </w:rPr>
        <w:t>1. Summary of related RF requirement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8"/>
        <w:gridCol w:w="8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Tx requirements</w:t>
            </w:r>
          </w:p>
        </w:tc>
        <w:tc>
          <w:tcPr>
            <w:tcW w:w="6194"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bookmarkStart w:id="7" w:name="_Toc24574"/>
            <w:r>
              <w:rPr>
                <w:rFonts w:hint="eastAsia"/>
                <w:b/>
                <w:bCs/>
                <w:vertAlign w:val="baseline"/>
                <w:lang w:val="en-US" w:eastAsia="zh-CN"/>
              </w:rPr>
              <w:t>SAN output power</w:t>
            </w:r>
            <w:bookmarkEnd w:id="7"/>
            <w:r>
              <w:rPr>
                <w:rFonts w:hint="eastAsia"/>
                <w:b/>
                <w:bCs/>
                <w:vertAlign w:val="baseline"/>
                <w:lang w:val="en-US" w:eastAsia="zh-CN"/>
              </w:rPr>
              <w:t xml:space="preserve"> </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up to the declaration and no need to define any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bookmarkStart w:id="8" w:name="_Toc22538"/>
            <w:r>
              <w:rPr>
                <w:rFonts w:hint="eastAsia"/>
                <w:b/>
                <w:bCs/>
                <w:vertAlign w:val="baseline"/>
                <w:lang w:val="en-US" w:eastAsia="zh-CN"/>
              </w:rPr>
              <w:t>Output power dynamics</w:t>
            </w:r>
            <w:bookmarkEnd w:id="8"/>
          </w:p>
        </w:tc>
        <w:tc>
          <w:tcPr>
            <w:tcW w:w="6194" w:type="dxa"/>
            <w:vAlign w:val="top"/>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RE power control dynamic range</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Total power dynamic range</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could bed defined similar as FR2 NR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 ON/OFF power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N/A since the Ka-band is FDD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Transmitted signal quality</w:t>
            </w:r>
          </w:p>
        </w:tc>
        <w:tc>
          <w:tcPr>
            <w:tcW w:w="6194" w:type="dxa"/>
          </w:tcPr>
          <w:p>
            <w:pPr>
              <w:pStyle w:val="41"/>
              <w:tabs>
                <w:tab w:val="left" w:pos="2474"/>
              </w:tabs>
              <w:bidi w:val="0"/>
              <w:ind w:left="0" w:leftChars="0" w:firstLine="0" w:firstLineChars="0"/>
              <w:rPr>
                <w:rFonts w:hint="default"/>
                <w:vertAlign w:val="baseline"/>
                <w:lang w:val="en-US" w:eastAsia="zh-CN"/>
              </w:rPr>
            </w:pPr>
            <w:r>
              <w:rPr>
                <w:rFonts w:hint="eastAsia"/>
                <w:vertAlign w:val="baseli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Frequency error</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38.108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Modulation quality</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to reuse the same requirement defined in TS 38.104. For DL 256QAM and 64QAM, this need more discussion similar as Rel-17 NR over NTN (e.g. link budget or achieved DL SINR).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Time alignment error</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is not applicable for NTN SAN since its channel characteristic is difficult to support the MIMO which is similar as Rel-17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Unwanted emissions</w:t>
            </w:r>
          </w:p>
        </w:tc>
        <w:tc>
          <w:tcPr>
            <w:tcW w:w="6194" w:type="dxa"/>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Occupied bandwidth</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eastAsia" w:eastAsia="宋体"/>
                <w:vertAlign w:val="baseline"/>
                <w:lang w:val="en-US" w:eastAsia="zh-CN"/>
              </w:rPr>
            </w:pPr>
            <w:r>
              <w:rPr>
                <w:rFonts w:hint="eastAsia"/>
                <w:vertAlign w:val="baseline"/>
                <w:lang w:val="en-US" w:eastAsia="zh-CN"/>
              </w:rPr>
              <w:t xml:space="preserve">to reuse the same requirement defined in TS38.108 which is following </w:t>
            </w:r>
            <w:r>
              <w:rPr>
                <w:rFonts w:cs="v4.2.0"/>
              </w:rPr>
              <w:t>ITU-R Recommendation SM.328</w:t>
            </w:r>
            <w:r>
              <w:rPr>
                <w:rFonts w:hint="eastAsia" w:eastAsia="宋体" w:cs="v4.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Adjacent Channel Leakage Power Ratio</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Operating band unwanted emissions</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 xml:space="preserve">this depends on the outcome of coexistence study if needed and </w:t>
            </w:r>
            <w:r>
              <w:rPr>
                <w:rFonts w:eastAsia="Times New Roman"/>
              </w:rPr>
              <w:t xml:space="preserve">ITU recommendation SM.1541-6 </w:t>
            </w:r>
            <w:r>
              <w:rPr>
                <w:rFonts w:hint="eastAsia"/>
                <w:vertAlign w:val="baseline"/>
                <w:lang w:val="en-US" w:eastAsia="zh-CN"/>
              </w:rPr>
              <w:t>.</w:t>
            </w:r>
          </w:p>
          <w:p>
            <w:pPr>
              <w:pStyle w:val="41"/>
              <w:bidi w:val="0"/>
              <w:ind w:left="0" w:leftChars="0" w:firstLine="0" w:firstLineChars="0"/>
              <w:rPr>
                <w:rFonts w:hint="eastAsia"/>
                <w:vertAlign w:val="baseline"/>
                <w:lang w:val="en-US" w:eastAsia="zh-CN"/>
              </w:rPr>
            </w:pPr>
            <w:r>
              <w:drawing>
                <wp:inline distT="0" distB="0" distL="114300" distR="114300">
                  <wp:extent cx="5325745" cy="2924810"/>
                  <wp:effectExtent l="0" t="0" r="825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325745" cy="2924810"/>
                          </a:xfrm>
                          <a:prstGeom prst="rect">
                            <a:avLst/>
                          </a:prstGeom>
                          <a:noFill/>
                          <a:ln>
                            <a:noFill/>
                          </a:ln>
                        </pic:spPr>
                      </pic:pic>
                    </a:graphicData>
                  </a:graphic>
                </wp:inline>
              </w:drawing>
            </w:r>
          </w:p>
          <w:p>
            <w:pPr>
              <w:pStyle w:val="41"/>
              <w:bidi w:val="0"/>
              <w:ind w:left="0" w:leftChars="0" w:firstLine="0" w:firstLineChars="0"/>
              <w:rPr>
                <w:rFonts w:hint="default" w:eastAsia="宋体"/>
                <w:lang w:val="en-US" w:eastAsia="zh-CN"/>
              </w:rPr>
            </w:pPr>
            <w:r>
              <w:rPr>
                <w:rFonts w:hint="eastAsia" w:eastAsia="宋体"/>
                <w:lang w:val="en-US" w:eastAsia="zh-CN"/>
              </w:rPr>
              <w:t>Further study for FSS if the corresponding FSS spectrum could be included.</w:t>
            </w:r>
          </w:p>
          <w:p>
            <w:pPr>
              <w:pStyle w:val="41"/>
              <w:bidi w:val="0"/>
              <w:ind w:left="0" w:leftChars="0" w:firstLine="0" w:firstLineChars="0"/>
              <w:rPr>
                <w:rFonts w:hint="default"/>
                <w:vertAlign w:val="baseline"/>
                <w:lang w:val="en-US" w:eastAsia="zh-CN"/>
              </w:rPr>
            </w:pPr>
            <w:r>
              <w:drawing>
                <wp:inline distT="0" distB="0" distL="114300" distR="114300">
                  <wp:extent cx="5331460" cy="2028825"/>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331460" cy="20288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eastAsia"/>
                <w:b/>
                <w:bCs/>
                <w:vertAlign w:val="baseline"/>
                <w:lang w:val="en-US" w:eastAsia="zh-CN"/>
              </w:rPr>
            </w:pPr>
            <w:r>
              <w:rPr>
                <w:rFonts w:hint="eastAsia"/>
                <w:b/>
                <w:bCs/>
                <w:vertAlign w:val="baseline"/>
                <w:lang w:val="en-US" w:eastAsia="zh-CN"/>
              </w:rPr>
              <w:t>Transmitter spurious emissions</w:t>
            </w:r>
          </w:p>
          <w:p>
            <w:pPr>
              <w:pStyle w:val="41"/>
              <w:bidi w:val="0"/>
              <w:ind w:left="0" w:leftChars="0" w:firstLine="0" w:firstLineChars="0"/>
              <w:rPr>
                <w:rFonts w:hint="default"/>
                <w:b/>
                <w:bCs/>
                <w:vertAlign w:val="baseline"/>
                <w:lang w:val="en-US" w:eastAsia="zh-CN"/>
              </w:rPr>
            </w:pP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to reuse the same spurious emission requirement defined in TS 38.108, however the upper frequency limit for DL need to be updated as 2</w:t>
            </w:r>
            <w:r>
              <w:rPr>
                <w:rFonts w:hint="eastAsia"/>
                <w:vertAlign w:val="superscript"/>
                <w:lang w:val="en-US" w:eastAsia="zh-CN"/>
              </w:rPr>
              <w:t>nd</w:t>
            </w:r>
            <w:r>
              <w:rPr>
                <w:rFonts w:hint="eastAsia"/>
                <w:vertAlign w:val="baseline"/>
                <w:lang w:val="en-US" w:eastAsia="zh-CN"/>
              </w:rPr>
              <w:t xml:space="preserve"> harmonic instead of 5</w:t>
            </w:r>
            <w:r>
              <w:rPr>
                <w:rFonts w:hint="eastAsia"/>
                <w:vertAlign w:val="superscript"/>
                <w:lang w:val="en-US" w:eastAsia="zh-CN"/>
              </w:rPr>
              <w:t>th</w:t>
            </w:r>
            <w:r>
              <w:rPr>
                <w:rFonts w:hint="eastAsia"/>
                <w:vertAlign w:val="baseline"/>
                <w:lang w:val="en-US" w:eastAsia="zh-CN"/>
              </w:rPr>
              <w:t xml:space="preserve"> harmonic to follow the principle defined in ITU-R SM.329</w:t>
            </w:r>
          </w:p>
          <w:p>
            <w:pPr>
              <w:pStyle w:val="41"/>
              <w:bidi w:val="0"/>
              <w:ind w:left="0" w:leftChars="0" w:firstLine="0" w:firstLineChars="0"/>
              <w:rPr>
                <w:rFonts w:hint="default"/>
                <w:vertAlign w:val="baseline"/>
                <w:lang w:val="en-US" w:eastAsia="zh-CN"/>
              </w:rPr>
            </w:pPr>
            <w:r>
              <w:drawing>
                <wp:inline distT="0" distB="0" distL="114300" distR="114300">
                  <wp:extent cx="5274945" cy="2988945"/>
                  <wp:effectExtent l="0" t="0" r="190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74945" cy="29889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Transmitter intermodulation</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Not applicable since it</w:t>
            </w:r>
            <w:r>
              <w:rPr>
                <w:rFonts w:hint="default"/>
                <w:vertAlign w:val="baseline"/>
                <w:lang w:val="en-US" w:eastAsia="zh-CN"/>
              </w:rPr>
              <w:t>’</w:t>
            </w:r>
            <w:r>
              <w:rPr>
                <w:rFonts w:hint="eastAsia"/>
                <w:vertAlign w:val="baseline"/>
                <w:lang w:val="en-US" w:eastAsia="zh-CN"/>
              </w:rPr>
              <w:t>s supposed to have no surrounding interfering gNB next to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1"/>
              <w:bidi w:val="0"/>
              <w:ind w:left="0" w:leftChars="0" w:firstLine="0" w:firstLineChars="0"/>
              <w:rPr>
                <w:rFonts w:hint="default"/>
                <w:vertAlign w:val="baseline"/>
                <w:lang w:val="en-US" w:eastAsia="zh-CN"/>
              </w:rPr>
            </w:pPr>
            <w:r>
              <w:rPr>
                <w:rFonts w:hint="eastAsia"/>
                <w:b/>
                <w:bCs/>
                <w:sz w:val="24"/>
                <w:szCs w:val="24"/>
                <w:vertAlign w:val="baseline"/>
                <w:lang w:val="en-US" w:eastAsia="zh-CN"/>
              </w:rPr>
              <w:t>Rx requirement</w:t>
            </w:r>
          </w:p>
        </w:tc>
        <w:tc>
          <w:tcPr>
            <w:tcW w:w="6194" w:type="dxa"/>
            <w:shd w:val="clear" w:color="auto" w:fill="D7D7D7" w:themeFill="background1" w:themeFillShade="D8"/>
          </w:tcPr>
          <w:p>
            <w:pPr>
              <w:pStyle w:val="41"/>
              <w:bidi w:val="0"/>
              <w:ind w:left="0" w:leftChars="0" w:firstLine="0" w:firstLineChars="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Reference sensitivity level</w:t>
            </w:r>
          </w:p>
        </w:tc>
        <w:tc>
          <w:tcPr>
            <w:tcW w:w="6194" w:type="dxa"/>
          </w:tcPr>
          <w:p>
            <w:pPr>
              <w:pStyle w:val="41"/>
              <w:bidi w:val="0"/>
              <w:ind w:left="0" w:leftChars="0" w:firstLine="0" w:firstLineChars="0"/>
              <w:rPr>
                <w:rFonts w:hint="eastAsia"/>
                <w:vertAlign w:val="baseline"/>
                <w:lang w:val="en-US" w:eastAsia="zh-CN"/>
              </w:rPr>
            </w:pPr>
            <w:r>
              <w:rPr>
                <w:rFonts w:hint="eastAsia"/>
                <w:vertAlign w:val="baseline"/>
                <w:lang w:val="en-US" w:eastAsia="zh-CN"/>
              </w:rPr>
              <w:t>Declaration basis according to the noise figure of SAN, antenna array configuration, the target SNR, FRC.</w:t>
            </w:r>
          </w:p>
          <w:p>
            <w:pPr>
              <w:pStyle w:val="41"/>
              <w:bidi w:val="0"/>
              <w:ind w:left="0" w:leftChars="0" w:firstLine="0" w:firstLineChars="0"/>
              <w:rPr>
                <w:rFonts w:hint="eastAsia"/>
                <w:vertAlign w:val="baseline"/>
                <w:lang w:val="en-US" w:eastAsia="zh-CN"/>
              </w:rPr>
            </w:pPr>
            <w:r>
              <w:rPr>
                <w:rFonts w:hint="eastAsia"/>
                <w:vertAlign w:val="baseline"/>
                <w:lang w:val="en-US" w:eastAsia="zh-CN"/>
              </w:rPr>
              <w:t>The existing FRC for TN BS in FR2 could be reused if system parameter in other agenda is agreeable.</w:t>
            </w:r>
          </w:p>
          <w:p>
            <w:pPr>
              <w:pStyle w:val="41"/>
              <w:bidi w:val="0"/>
              <w:ind w:left="0" w:leftChars="0" w:firstLine="0" w:firstLineChars="0"/>
              <w:rPr>
                <w:rFonts w:hint="default"/>
                <w:vertAlign w:val="baseline"/>
                <w:lang w:val="en-US" w:eastAsia="zh-CN"/>
              </w:rPr>
            </w:pPr>
            <w:r>
              <w:rPr>
                <w:rFonts w:hint="eastAsia"/>
                <w:vertAlign w:val="baseline"/>
                <w:lang w:val="en-US" w:eastAsia="zh-CN"/>
              </w:rPr>
              <w:t>It should be noted that antenna array between transmitter and receiver could be different which are different from the legacy TN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 xml:space="preserve">Dynamic range </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more evaluation results for IoT level in the uplink are needed similar as Rel-17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ACS</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In-band blocking</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Out of band blocking</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 xml:space="preserve">to start with OOBB power level as -44dBm and this should be changed to V/m in the OTA chamber.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Receiver spurious emission</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Not applicable for FDD band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Receiver intermodulation</w:t>
            </w:r>
          </w:p>
        </w:tc>
        <w:tc>
          <w:tcPr>
            <w:tcW w:w="6194" w:type="dxa"/>
          </w:tcPr>
          <w:p>
            <w:pPr>
              <w:pStyle w:val="41"/>
              <w:bidi w:val="0"/>
              <w:ind w:left="0" w:leftChars="0" w:firstLine="0" w:firstLineChars="0"/>
              <w:rPr>
                <w:rFonts w:hint="default"/>
                <w:vertAlign w:val="baseline"/>
                <w:lang w:val="en-US" w:eastAsia="zh-CN"/>
              </w:rPr>
            </w:pPr>
            <w:r>
              <w:rPr>
                <w:rFonts w:hint="eastAsia"/>
                <w:vertAlign w:val="baseline"/>
                <w:lang w:val="en-US" w:eastAsia="zh-CN"/>
              </w:rPr>
              <w:t>Not applicable since it</w:t>
            </w:r>
            <w:r>
              <w:rPr>
                <w:rFonts w:hint="default"/>
                <w:vertAlign w:val="baseline"/>
                <w:lang w:val="en-US" w:eastAsia="zh-CN"/>
              </w:rPr>
              <w:t>’</w:t>
            </w:r>
            <w:r>
              <w:rPr>
                <w:rFonts w:hint="eastAsia"/>
                <w:vertAlign w:val="baseline"/>
                <w:lang w:val="en-US" w:eastAsia="zh-CN"/>
              </w:rPr>
              <w:t>s supposed to have no surrounding interfering gNB next to gNB which is similar as transmitter intermodulation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1"/>
              <w:bidi w:val="0"/>
              <w:ind w:left="0" w:leftChars="0" w:firstLine="0" w:firstLineChars="0"/>
              <w:rPr>
                <w:rFonts w:hint="default"/>
                <w:b/>
                <w:bCs/>
                <w:vertAlign w:val="baseline"/>
                <w:lang w:val="en-US" w:eastAsia="zh-CN"/>
              </w:rPr>
            </w:pPr>
            <w:r>
              <w:rPr>
                <w:rFonts w:hint="eastAsia"/>
                <w:b/>
                <w:bCs/>
                <w:vertAlign w:val="baseline"/>
                <w:lang w:val="en-US" w:eastAsia="zh-CN"/>
              </w:rPr>
              <w:t>In-channel selectivity</w:t>
            </w:r>
          </w:p>
        </w:tc>
        <w:tc>
          <w:tcPr>
            <w:tcW w:w="6194" w:type="dxa"/>
          </w:tcPr>
          <w:p>
            <w:pPr>
              <w:rPr>
                <w:rFonts w:hint="default"/>
                <w:szCs w:val="24"/>
                <w:highlight w:val="yellow"/>
                <w:lang w:val="en-US" w:eastAsia="zh-CN"/>
              </w:rPr>
            </w:pPr>
            <w:r>
              <w:rPr>
                <w:rFonts w:hint="eastAsia"/>
                <w:vertAlign w:val="baseline"/>
                <w:lang w:val="en-US" w:eastAsia="zh-CN"/>
              </w:rPr>
              <w:t>more evaluation results for IoT level in the uplink are needed similar as Rel-17 NR over NTN.</w:t>
            </w:r>
          </w:p>
        </w:tc>
      </w:tr>
    </w:tbl>
    <w:p>
      <w:pPr>
        <w:pStyle w:val="34"/>
        <w:numPr>
          <w:ilvl w:val="0"/>
          <w:numId w:val="0"/>
        </w:numPr>
        <w:rPr>
          <w:rFonts w:hint="default" w:eastAsia="Times New Roman" w:cs="Times New Roman"/>
          <w:kern w:val="0"/>
          <w:sz w:val="20"/>
          <w:szCs w:val="20"/>
          <w:highlight w:val="none"/>
          <w:lang w:val="en-US" w:eastAsia="zh-CN" w:bidi="ar-SA"/>
        </w:rPr>
      </w:pPr>
    </w:p>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further</w:t>
      </w:r>
      <w:r>
        <w:rPr>
          <w:rFonts w:hint="eastAsia" w:eastAsia="宋体"/>
          <w:lang w:val="en-US" w:eastAsia="zh-CN"/>
        </w:rPr>
        <w:t xml:space="preserve"> views on </w:t>
      </w:r>
      <w:r>
        <w:rPr>
          <w:rFonts w:hint="eastAsia"/>
          <w:lang w:val="en-US" w:eastAsia="zh-CN"/>
        </w:rPr>
        <w:t>NTN SAN</w:t>
      </w:r>
      <w:r>
        <w:rPr>
          <w:rFonts w:hint="eastAsia" w:eastAsia="宋体"/>
          <w:lang w:val="en-US" w:eastAsia="zh-CN"/>
        </w:rPr>
        <w:t xml:space="preserve"> RF requirements.</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jc w:val="both"/>
        <w:textAlignment w:val="auto"/>
        <w:outlineLvl w:val="9"/>
        <w:rPr>
          <w:rFonts w:hint="eastAsia" w:cs="Times New Roman"/>
          <w:b/>
          <w:bCs/>
          <w:sz w:val="20"/>
          <w:szCs w:val="20"/>
          <w:highlight w:val="none"/>
          <w:lang w:val="en-US" w:eastAsia="zh-CN"/>
        </w:rPr>
      </w:pPr>
      <w:r>
        <w:rPr>
          <w:rFonts w:hint="eastAsia" w:cs="Times New Roman"/>
          <w:b/>
          <w:bCs/>
          <w:sz w:val="21"/>
          <w:szCs w:val="22"/>
          <w:highlight w:val="none"/>
          <w:lang w:val="en-US" w:eastAsia="zh-CN"/>
        </w:rPr>
        <w:t>Proposal 1:</w:t>
      </w:r>
      <w:r>
        <w:rPr>
          <w:rFonts w:hint="eastAsia" w:cs="Times New Roman"/>
          <w:b w:val="0"/>
          <w:bCs w:val="0"/>
          <w:sz w:val="21"/>
          <w:szCs w:val="22"/>
          <w:highlight w:val="none"/>
          <w:lang w:val="en-US" w:eastAsia="zh-CN"/>
        </w:rPr>
        <w:t xml:space="preserve"> if the conductive requirements to be defined for Ka-band NTN SAN, the impact of insertion loss and link budget should be further clarified.</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jc w:val="both"/>
        <w:textAlignment w:val="auto"/>
        <w:outlineLvl w:val="9"/>
        <w:rPr>
          <w:rFonts w:hint="default"/>
          <w:lang w:val="en-US" w:eastAsia="zh-CN"/>
        </w:rPr>
      </w:pPr>
      <w:r>
        <w:rPr>
          <w:rFonts w:hint="eastAsia" w:cs="Times New Roman"/>
          <w:b/>
          <w:bCs/>
          <w:sz w:val="20"/>
          <w:szCs w:val="20"/>
          <w:highlight w:val="none"/>
          <w:lang w:val="en-US" w:eastAsia="zh-CN"/>
        </w:rPr>
        <w:t>Proposal 2:</w:t>
      </w:r>
      <w:r>
        <w:rPr>
          <w:rFonts w:hint="eastAsia" w:cs="Times New Roman"/>
          <w:b w:val="0"/>
          <w:bCs w:val="0"/>
          <w:sz w:val="20"/>
          <w:szCs w:val="20"/>
          <w:highlight w:val="none"/>
          <w:lang w:val="en-US" w:eastAsia="zh-CN"/>
        </w:rPr>
        <w:t xml:space="preserve"> to define SAN RF requirement for NTN in Ka-band as proposed in table 2.2-1.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R4-2217496</w:t>
      </w:r>
      <w:r>
        <w:rPr>
          <w:rFonts w:hint="eastAsia" w:cs="Times New Roman"/>
          <w:b w:val="0"/>
          <w:sz w:val="20"/>
          <w:szCs w:val="20"/>
          <w:highlight w:val="none"/>
          <w:u w:val="none"/>
          <w:lang w:val="en-US" w:eastAsia="zh-CN"/>
        </w:rPr>
        <w:t xml:space="preserve">, </w:t>
      </w:r>
      <w:r>
        <w:rPr>
          <w:rFonts w:hint="eastAsia" w:ascii="Times New Roman" w:hAnsi="Times New Roman" w:cs="Times New Roman"/>
          <w:b w:val="0"/>
          <w:sz w:val="20"/>
          <w:szCs w:val="20"/>
          <w:highlight w:val="none"/>
        </w:rPr>
        <w:t>Email discussion summary for [104-bis-e][312] NR_NTN_enh_Part1</w:t>
      </w:r>
    </w:p>
    <w:p>
      <w:pPr>
        <w:pStyle w:val="53"/>
        <w:numPr>
          <w:ilvl w:val="0"/>
          <w:numId w:val="5"/>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R4-2217467</w:t>
      </w:r>
      <w:r>
        <w:rPr>
          <w:rFonts w:hint="eastAsia"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rPr>
        <w:t>WF on NR NTN Enhancements Part1</w:t>
      </w:r>
      <w:r>
        <w:rPr>
          <w:rFonts w:hint="eastAsia" w:cs="Times New Roman"/>
          <w:b w:val="0"/>
          <w:sz w:val="20"/>
          <w:szCs w:val="20"/>
          <w:highlight w:val="none"/>
          <w:lang w:val="en-US" w:eastAsia="zh-CN"/>
        </w:rPr>
        <w:t>, Thales, approved.</w:t>
      </w:r>
    </w:p>
    <w:p>
      <w:pPr>
        <w:pStyle w:val="53"/>
        <w:numPr>
          <w:ilvl w:val="0"/>
          <w:numId w:val="5"/>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rPr>
        <w:fldChar w:fldCharType="begin"/>
      </w:r>
      <w:r>
        <w:rPr>
          <w:rFonts w:hint="eastAsia" w:ascii="Times New Roman" w:hAnsi="Times New Roman" w:cs="Times New Roman"/>
          <w:b w:val="0"/>
          <w:sz w:val="20"/>
          <w:szCs w:val="20"/>
          <w:highlight w:val="none"/>
        </w:rPr>
        <w:instrText xml:space="preserve"> HYPERLINK "https://artes.esa.int/projects/array-fed-reflector-antenna-fafr" </w:instrText>
      </w:r>
      <w:r>
        <w:rPr>
          <w:rFonts w:hint="eastAsia" w:ascii="Times New Roman" w:hAnsi="Times New Roman" w:cs="Times New Roman"/>
          <w:b w:val="0"/>
          <w:sz w:val="20"/>
          <w:szCs w:val="20"/>
          <w:highlight w:val="none"/>
        </w:rPr>
        <w:fldChar w:fldCharType="separate"/>
      </w:r>
      <w:r>
        <w:rPr>
          <w:rStyle w:val="29"/>
          <w:rFonts w:hint="eastAsia" w:ascii="Times New Roman" w:hAnsi="Times New Roman" w:cs="Times New Roman"/>
          <w:b w:val="0"/>
          <w:sz w:val="20"/>
          <w:szCs w:val="20"/>
          <w:highlight w:val="none"/>
        </w:rPr>
        <w:t>https://artes.esa.int/projects/array-fed-reflector-antenna-fafr</w:t>
      </w:r>
      <w:r>
        <w:rPr>
          <w:rFonts w:hint="eastAsia" w:ascii="Times New Roman" w:hAnsi="Times New Roman" w:cs="Times New Roman"/>
          <w:b w:val="0"/>
          <w:sz w:val="20"/>
          <w:szCs w:val="20"/>
          <w:highlight w:val="none"/>
        </w:rPr>
        <w:fldChar w:fldCharType="end"/>
      </w:r>
    </w:p>
    <w:p>
      <w:pPr>
        <w:pStyle w:val="53"/>
        <w:numPr>
          <w:ilvl w:val="0"/>
          <w:numId w:val="5"/>
        </w:numPr>
        <w:rPr>
          <w:rFonts w:hint="default" w:ascii="Times New Roman" w:hAnsi="Times New Roman" w:cs="Times New Roman"/>
          <w:b w:val="0"/>
          <w:sz w:val="20"/>
          <w:szCs w:val="20"/>
          <w:highlight w:val="none"/>
          <w:u w:val="none"/>
          <w:lang w:val="en-US"/>
        </w:rPr>
      </w:pPr>
      <w:r>
        <w:rPr>
          <w:rFonts w:hint="eastAsia" w:ascii="Times New Roman" w:hAnsi="Times New Roman" w:cs="Times New Roman"/>
          <w:b w:val="0"/>
          <w:sz w:val="20"/>
          <w:szCs w:val="20"/>
          <w:highlight w:val="none"/>
          <w:u w:val="none"/>
        </w:rPr>
        <w:t xml:space="preserve">R4-2220304 WF for </w:t>
      </w:r>
      <w:r>
        <w:rPr>
          <w:rFonts w:hint="eastAsia" w:ascii="Times New Roman" w:hAnsi="Times New Roman" w:cs="Times New Roman"/>
          <w:b w:val="0"/>
          <w:sz w:val="20"/>
          <w:szCs w:val="20"/>
          <w:highlight w:val="none"/>
          <w:u w:val="none"/>
          <w:lang w:eastAsia="zh-CN"/>
        </w:rPr>
        <w:t>above</w:t>
      </w:r>
      <w:r>
        <w:rPr>
          <w:rFonts w:hint="eastAsia" w:ascii="Times New Roman" w:hAnsi="Times New Roman" w:cs="Times New Roman"/>
          <w:b w:val="0"/>
          <w:sz w:val="20"/>
          <w:szCs w:val="20"/>
          <w:highlight w:val="none"/>
          <w:u w:val="none"/>
        </w:rPr>
        <w:t xml:space="preserve"> 10</w:t>
      </w:r>
      <w:r>
        <w:rPr>
          <w:rFonts w:hint="eastAsia" w:ascii="Times New Roman" w:hAnsi="Times New Roman" w:cs="Times New Roman"/>
          <w:b w:val="0"/>
          <w:sz w:val="20"/>
          <w:szCs w:val="20"/>
          <w:highlight w:val="none"/>
          <w:u w:val="none"/>
          <w:lang w:eastAsia="zh-CN"/>
        </w:rPr>
        <w:t>GHz</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u w:val="none"/>
          <w:lang w:eastAsia="zh-CN"/>
        </w:rPr>
        <w:t>SAN</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u w:val="none"/>
          <w:lang w:eastAsia="zh-CN"/>
        </w:rPr>
        <w:t>RF</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u w:val="none"/>
          <w:lang w:eastAsia="zh-CN"/>
        </w:rPr>
        <w:t>requirements</w:t>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lang w:eastAsia="zh-CN"/>
        </w:rPr>
        <w:t>Thales, ZTE</w:t>
      </w:r>
      <w:r>
        <w:rPr>
          <w:rFonts w:hint="eastAsia" w:ascii="Times New Roman" w:hAnsi="Times New Roman" w:cs="Times New Roman"/>
          <w:b w:val="0"/>
          <w:sz w:val="20"/>
          <w:szCs w:val="20"/>
          <w:highlight w:val="none"/>
          <w:u w:val="none"/>
          <w:lang w:val="en-US" w:eastAsia="zh-CN"/>
        </w:rPr>
        <w:t>, Approved.</w:t>
      </w:r>
    </w:p>
    <w:p>
      <w:pPr>
        <w:pStyle w:val="53"/>
        <w:numPr>
          <w:ilvl w:val="0"/>
          <w:numId w:val="0"/>
        </w:numPr>
        <w:rPr>
          <w:rFonts w:hint="eastAsia" w:ascii="Times New Roman" w:hAnsi="Times New Roman" w:cs="Times New Roman"/>
          <w:b w:val="0"/>
          <w:sz w:val="20"/>
          <w:szCs w:val="20"/>
          <w:highlight w:val="none"/>
        </w:rPr>
      </w:pPr>
    </w:p>
    <w:p>
      <w:pPr>
        <w:pStyle w:val="53"/>
        <w:numPr>
          <w:ilvl w:val="0"/>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11C17B2"/>
    <w:multiLevelType w:val="singleLevel"/>
    <w:tmpl w:val="F11C17B2"/>
    <w:lvl w:ilvl="0" w:tentative="0">
      <w:start w:val="1"/>
      <w:numFmt w:val="bullet"/>
      <w:lvlText w:val=""/>
      <w:lvlJc w:val="left"/>
      <w:pPr>
        <w:ind w:left="42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6AE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790"/>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3D6D13"/>
    <w:rsid w:val="01442D89"/>
    <w:rsid w:val="01522256"/>
    <w:rsid w:val="01594895"/>
    <w:rsid w:val="015C06BF"/>
    <w:rsid w:val="015F18F2"/>
    <w:rsid w:val="015F5FA3"/>
    <w:rsid w:val="016800B9"/>
    <w:rsid w:val="017059E0"/>
    <w:rsid w:val="01791D2E"/>
    <w:rsid w:val="01821D8F"/>
    <w:rsid w:val="018C2266"/>
    <w:rsid w:val="018C3642"/>
    <w:rsid w:val="018D7DCE"/>
    <w:rsid w:val="0195201D"/>
    <w:rsid w:val="019C3DA8"/>
    <w:rsid w:val="019E267E"/>
    <w:rsid w:val="01A402CD"/>
    <w:rsid w:val="01A742A2"/>
    <w:rsid w:val="01AD137B"/>
    <w:rsid w:val="01BE34DB"/>
    <w:rsid w:val="01BE6ACE"/>
    <w:rsid w:val="01C027D4"/>
    <w:rsid w:val="01C32135"/>
    <w:rsid w:val="01C70E9C"/>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2FD3A5B"/>
    <w:rsid w:val="030150CB"/>
    <w:rsid w:val="030313BA"/>
    <w:rsid w:val="03142F2C"/>
    <w:rsid w:val="0315569B"/>
    <w:rsid w:val="031712C4"/>
    <w:rsid w:val="03186045"/>
    <w:rsid w:val="031967AA"/>
    <w:rsid w:val="031A5DF1"/>
    <w:rsid w:val="031E0FAC"/>
    <w:rsid w:val="031E4C95"/>
    <w:rsid w:val="03241A7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6D10A1"/>
    <w:rsid w:val="03774924"/>
    <w:rsid w:val="03822F79"/>
    <w:rsid w:val="0395764C"/>
    <w:rsid w:val="039B69FD"/>
    <w:rsid w:val="03A32E58"/>
    <w:rsid w:val="03BD72F7"/>
    <w:rsid w:val="03C0647A"/>
    <w:rsid w:val="03C6618A"/>
    <w:rsid w:val="03CD06E1"/>
    <w:rsid w:val="03CD6E1F"/>
    <w:rsid w:val="03D4427A"/>
    <w:rsid w:val="03D94627"/>
    <w:rsid w:val="03E54642"/>
    <w:rsid w:val="03E66EC6"/>
    <w:rsid w:val="03F210AC"/>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BB3FB4"/>
    <w:rsid w:val="04CC58AA"/>
    <w:rsid w:val="04D66461"/>
    <w:rsid w:val="04E06510"/>
    <w:rsid w:val="04F12F12"/>
    <w:rsid w:val="04F517FD"/>
    <w:rsid w:val="051034CD"/>
    <w:rsid w:val="051F43BC"/>
    <w:rsid w:val="052432F7"/>
    <w:rsid w:val="05280A89"/>
    <w:rsid w:val="05367F8C"/>
    <w:rsid w:val="053E1AC2"/>
    <w:rsid w:val="0545651B"/>
    <w:rsid w:val="05491FDD"/>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2E55"/>
    <w:rsid w:val="05B27D07"/>
    <w:rsid w:val="05B658ED"/>
    <w:rsid w:val="05BC079D"/>
    <w:rsid w:val="05BE42A5"/>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D742E"/>
    <w:rsid w:val="063F20A9"/>
    <w:rsid w:val="064001EE"/>
    <w:rsid w:val="06474EFD"/>
    <w:rsid w:val="06493A8C"/>
    <w:rsid w:val="064A35EA"/>
    <w:rsid w:val="064B521E"/>
    <w:rsid w:val="064C2727"/>
    <w:rsid w:val="065740AF"/>
    <w:rsid w:val="065A56A2"/>
    <w:rsid w:val="06642859"/>
    <w:rsid w:val="0665756F"/>
    <w:rsid w:val="066F6122"/>
    <w:rsid w:val="06735C62"/>
    <w:rsid w:val="067570AB"/>
    <w:rsid w:val="067A4B9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DF7EFF"/>
    <w:rsid w:val="06F30672"/>
    <w:rsid w:val="06F35A7A"/>
    <w:rsid w:val="06F35AB6"/>
    <w:rsid w:val="06F66B05"/>
    <w:rsid w:val="06F80C57"/>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275719"/>
    <w:rsid w:val="0835476E"/>
    <w:rsid w:val="08367FC2"/>
    <w:rsid w:val="08391661"/>
    <w:rsid w:val="083E0F5E"/>
    <w:rsid w:val="084E0029"/>
    <w:rsid w:val="08550FFB"/>
    <w:rsid w:val="085D6C7E"/>
    <w:rsid w:val="08611CAF"/>
    <w:rsid w:val="0865781A"/>
    <w:rsid w:val="0866133E"/>
    <w:rsid w:val="08692F64"/>
    <w:rsid w:val="087716A2"/>
    <w:rsid w:val="08780590"/>
    <w:rsid w:val="08782ED9"/>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911CC"/>
    <w:rsid w:val="08F9304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A5647"/>
    <w:rsid w:val="09BC6CA3"/>
    <w:rsid w:val="09C346F5"/>
    <w:rsid w:val="09CA65A4"/>
    <w:rsid w:val="09CD6A58"/>
    <w:rsid w:val="09CD6EF5"/>
    <w:rsid w:val="09E14486"/>
    <w:rsid w:val="09E4648F"/>
    <w:rsid w:val="09F1407D"/>
    <w:rsid w:val="09F21427"/>
    <w:rsid w:val="0A093274"/>
    <w:rsid w:val="0A0A222A"/>
    <w:rsid w:val="0A145E2C"/>
    <w:rsid w:val="0A223227"/>
    <w:rsid w:val="0A22459E"/>
    <w:rsid w:val="0A2705E1"/>
    <w:rsid w:val="0A2A6A0B"/>
    <w:rsid w:val="0A312533"/>
    <w:rsid w:val="0A3328C7"/>
    <w:rsid w:val="0A335E1D"/>
    <w:rsid w:val="0A3A0D5D"/>
    <w:rsid w:val="0A3B0B8F"/>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D4245"/>
    <w:rsid w:val="0AD57FD6"/>
    <w:rsid w:val="0AD61CB5"/>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96874"/>
    <w:rsid w:val="0BDA3782"/>
    <w:rsid w:val="0BDB5584"/>
    <w:rsid w:val="0BE03DAA"/>
    <w:rsid w:val="0BE17727"/>
    <w:rsid w:val="0BE74325"/>
    <w:rsid w:val="0BEC55E4"/>
    <w:rsid w:val="0BF427F9"/>
    <w:rsid w:val="0BF948CC"/>
    <w:rsid w:val="0C0B2ABC"/>
    <w:rsid w:val="0C0C632D"/>
    <w:rsid w:val="0C120111"/>
    <w:rsid w:val="0C12447E"/>
    <w:rsid w:val="0C1D0A79"/>
    <w:rsid w:val="0C336D3A"/>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E245F1"/>
    <w:rsid w:val="0CE4001E"/>
    <w:rsid w:val="0CE6204B"/>
    <w:rsid w:val="0CF5634C"/>
    <w:rsid w:val="0D0213CD"/>
    <w:rsid w:val="0D04575D"/>
    <w:rsid w:val="0D0612B8"/>
    <w:rsid w:val="0D066A9C"/>
    <w:rsid w:val="0D0714BC"/>
    <w:rsid w:val="0D136EF9"/>
    <w:rsid w:val="0D1A52C8"/>
    <w:rsid w:val="0D1C1D16"/>
    <w:rsid w:val="0D1E5067"/>
    <w:rsid w:val="0D21615D"/>
    <w:rsid w:val="0D2454BF"/>
    <w:rsid w:val="0D2767B5"/>
    <w:rsid w:val="0D2904F2"/>
    <w:rsid w:val="0D3E327E"/>
    <w:rsid w:val="0D432A3E"/>
    <w:rsid w:val="0D480AA9"/>
    <w:rsid w:val="0D5800C7"/>
    <w:rsid w:val="0D5B6E86"/>
    <w:rsid w:val="0D604B9B"/>
    <w:rsid w:val="0D63712E"/>
    <w:rsid w:val="0D6A353C"/>
    <w:rsid w:val="0D6E0300"/>
    <w:rsid w:val="0D826C81"/>
    <w:rsid w:val="0D904522"/>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31B01"/>
    <w:rsid w:val="0E176FCD"/>
    <w:rsid w:val="0E1C0C6C"/>
    <w:rsid w:val="0E281319"/>
    <w:rsid w:val="0E3217E8"/>
    <w:rsid w:val="0E387AA5"/>
    <w:rsid w:val="0E3F0E9A"/>
    <w:rsid w:val="0E400D03"/>
    <w:rsid w:val="0E485C9B"/>
    <w:rsid w:val="0E4D4B22"/>
    <w:rsid w:val="0E503F53"/>
    <w:rsid w:val="0E51741C"/>
    <w:rsid w:val="0E5E2B07"/>
    <w:rsid w:val="0E7135C8"/>
    <w:rsid w:val="0E752596"/>
    <w:rsid w:val="0E771E51"/>
    <w:rsid w:val="0E796EA0"/>
    <w:rsid w:val="0E7A2A61"/>
    <w:rsid w:val="0E7C0762"/>
    <w:rsid w:val="0E8118C0"/>
    <w:rsid w:val="0E9A17E3"/>
    <w:rsid w:val="0EA11114"/>
    <w:rsid w:val="0EA35AC0"/>
    <w:rsid w:val="0EAE2C59"/>
    <w:rsid w:val="0EB34961"/>
    <w:rsid w:val="0EB9447E"/>
    <w:rsid w:val="0EC11B24"/>
    <w:rsid w:val="0EC468A2"/>
    <w:rsid w:val="0ECA0784"/>
    <w:rsid w:val="0ECC4066"/>
    <w:rsid w:val="0ECE7C5F"/>
    <w:rsid w:val="0ED12B32"/>
    <w:rsid w:val="0EDA48C8"/>
    <w:rsid w:val="0EDC5CD2"/>
    <w:rsid w:val="0EE32B38"/>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C745DC"/>
    <w:rsid w:val="0FD95333"/>
    <w:rsid w:val="0FEB0378"/>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5C15D5"/>
    <w:rsid w:val="10613177"/>
    <w:rsid w:val="10674DB0"/>
    <w:rsid w:val="106D678B"/>
    <w:rsid w:val="107374A2"/>
    <w:rsid w:val="10740BFA"/>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07394"/>
    <w:rsid w:val="112F54D2"/>
    <w:rsid w:val="1133321C"/>
    <w:rsid w:val="11457D8C"/>
    <w:rsid w:val="11461F96"/>
    <w:rsid w:val="114C3CA8"/>
    <w:rsid w:val="114D3A1D"/>
    <w:rsid w:val="11562BF2"/>
    <w:rsid w:val="11576536"/>
    <w:rsid w:val="11607F73"/>
    <w:rsid w:val="11613A1B"/>
    <w:rsid w:val="11677678"/>
    <w:rsid w:val="11703DE0"/>
    <w:rsid w:val="117338ED"/>
    <w:rsid w:val="117561EB"/>
    <w:rsid w:val="11781FEE"/>
    <w:rsid w:val="117824F0"/>
    <w:rsid w:val="117B0ADF"/>
    <w:rsid w:val="117E2370"/>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018CE"/>
    <w:rsid w:val="12220941"/>
    <w:rsid w:val="122403B4"/>
    <w:rsid w:val="122A6318"/>
    <w:rsid w:val="122C4F9E"/>
    <w:rsid w:val="122C6138"/>
    <w:rsid w:val="123616D6"/>
    <w:rsid w:val="12396B0A"/>
    <w:rsid w:val="123A52C3"/>
    <w:rsid w:val="123E0CDC"/>
    <w:rsid w:val="125A02CC"/>
    <w:rsid w:val="126405F6"/>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B019A"/>
    <w:rsid w:val="130C7624"/>
    <w:rsid w:val="130D7CA1"/>
    <w:rsid w:val="131046DE"/>
    <w:rsid w:val="131B2229"/>
    <w:rsid w:val="131B463A"/>
    <w:rsid w:val="131D12BF"/>
    <w:rsid w:val="131D5DAE"/>
    <w:rsid w:val="13217B01"/>
    <w:rsid w:val="13253FC4"/>
    <w:rsid w:val="132625C2"/>
    <w:rsid w:val="132A7435"/>
    <w:rsid w:val="132B3281"/>
    <w:rsid w:val="13322AD3"/>
    <w:rsid w:val="133B5756"/>
    <w:rsid w:val="134904A6"/>
    <w:rsid w:val="135845C3"/>
    <w:rsid w:val="135F5E4E"/>
    <w:rsid w:val="13744D52"/>
    <w:rsid w:val="137F1B10"/>
    <w:rsid w:val="1382164E"/>
    <w:rsid w:val="13913843"/>
    <w:rsid w:val="13920C1D"/>
    <w:rsid w:val="13962CE5"/>
    <w:rsid w:val="13A13863"/>
    <w:rsid w:val="13A62921"/>
    <w:rsid w:val="13AB3B97"/>
    <w:rsid w:val="13B35E26"/>
    <w:rsid w:val="13B42C01"/>
    <w:rsid w:val="13B445AD"/>
    <w:rsid w:val="13B66BD2"/>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976C9"/>
    <w:rsid w:val="144C6544"/>
    <w:rsid w:val="14547289"/>
    <w:rsid w:val="14794C74"/>
    <w:rsid w:val="14812D74"/>
    <w:rsid w:val="14836C15"/>
    <w:rsid w:val="14862300"/>
    <w:rsid w:val="148C00A0"/>
    <w:rsid w:val="148D3653"/>
    <w:rsid w:val="149E0A7B"/>
    <w:rsid w:val="14A82A63"/>
    <w:rsid w:val="14A86EA4"/>
    <w:rsid w:val="14A97BB5"/>
    <w:rsid w:val="14AC358C"/>
    <w:rsid w:val="14B76730"/>
    <w:rsid w:val="14C767C8"/>
    <w:rsid w:val="14CA142F"/>
    <w:rsid w:val="14DE753E"/>
    <w:rsid w:val="14E64628"/>
    <w:rsid w:val="14F51028"/>
    <w:rsid w:val="14F549EC"/>
    <w:rsid w:val="14F92549"/>
    <w:rsid w:val="14FB4950"/>
    <w:rsid w:val="14FD4800"/>
    <w:rsid w:val="14FE45D8"/>
    <w:rsid w:val="150650CB"/>
    <w:rsid w:val="150E6B8B"/>
    <w:rsid w:val="15157DF4"/>
    <w:rsid w:val="151B0462"/>
    <w:rsid w:val="151C45D8"/>
    <w:rsid w:val="15290336"/>
    <w:rsid w:val="15297BD7"/>
    <w:rsid w:val="152E148D"/>
    <w:rsid w:val="1532496F"/>
    <w:rsid w:val="154D4A84"/>
    <w:rsid w:val="155424D6"/>
    <w:rsid w:val="155605E9"/>
    <w:rsid w:val="155B1745"/>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4476E"/>
    <w:rsid w:val="15C61DCD"/>
    <w:rsid w:val="15D4474D"/>
    <w:rsid w:val="15D7597F"/>
    <w:rsid w:val="15F37B37"/>
    <w:rsid w:val="160C437B"/>
    <w:rsid w:val="161033BE"/>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80DA5"/>
    <w:rsid w:val="16794785"/>
    <w:rsid w:val="168119E9"/>
    <w:rsid w:val="16853FE3"/>
    <w:rsid w:val="168A3277"/>
    <w:rsid w:val="168F5C07"/>
    <w:rsid w:val="16937A0E"/>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261D1"/>
    <w:rsid w:val="17595246"/>
    <w:rsid w:val="175E4288"/>
    <w:rsid w:val="175F6489"/>
    <w:rsid w:val="17650A34"/>
    <w:rsid w:val="17652ACF"/>
    <w:rsid w:val="176C704A"/>
    <w:rsid w:val="177653C5"/>
    <w:rsid w:val="17844C56"/>
    <w:rsid w:val="179559A6"/>
    <w:rsid w:val="17957384"/>
    <w:rsid w:val="17A30F12"/>
    <w:rsid w:val="17BA48D6"/>
    <w:rsid w:val="17C0378A"/>
    <w:rsid w:val="17C535A1"/>
    <w:rsid w:val="17CC1D1C"/>
    <w:rsid w:val="17CD5EE0"/>
    <w:rsid w:val="17CF5EC8"/>
    <w:rsid w:val="17D47D7C"/>
    <w:rsid w:val="17D77CA7"/>
    <w:rsid w:val="17DD34AB"/>
    <w:rsid w:val="17E26E98"/>
    <w:rsid w:val="17EC4568"/>
    <w:rsid w:val="17F215BE"/>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3766"/>
    <w:rsid w:val="18D979C0"/>
    <w:rsid w:val="18DB781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6A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65C92"/>
    <w:rsid w:val="19ED386F"/>
    <w:rsid w:val="19FF1298"/>
    <w:rsid w:val="1A03072C"/>
    <w:rsid w:val="1A045B87"/>
    <w:rsid w:val="1A210157"/>
    <w:rsid w:val="1A365F00"/>
    <w:rsid w:val="1A421AAF"/>
    <w:rsid w:val="1A484A02"/>
    <w:rsid w:val="1A4D1CE1"/>
    <w:rsid w:val="1A5760FC"/>
    <w:rsid w:val="1A5B0C0F"/>
    <w:rsid w:val="1A5F7253"/>
    <w:rsid w:val="1A6A0EEA"/>
    <w:rsid w:val="1A6D22C8"/>
    <w:rsid w:val="1A725418"/>
    <w:rsid w:val="1A79002F"/>
    <w:rsid w:val="1A7A2EF9"/>
    <w:rsid w:val="1A7F4EDC"/>
    <w:rsid w:val="1A813E2C"/>
    <w:rsid w:val="1A8F2FDB"/>
    <w:rsid w:val="1A960E81"/>
    <w:rsid w:val="1A972C69"/>
    <w:rsid w:val="1A9A0C93"/>
    <w:rsid w:val="1AB02AE4"/>
    <w:rsid w:val="1AB359A1"/>
    <w:rsid w:val="1ABD31B9"/>
    <w:rsid w:val="1ABF3A95"/>
    <w:rsid w:val="1AC33B8C"/>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F42C3"/>
    <w:rsid w:val="1B324397"/>
    <w:rsid w:val="1B372EB9"/>
    <w:rsid w:val="1B39636C"/>
    <w:rsid w:val="1B40005E"/>
    <w:rsid w:val="1B4268B4"/>
    <w:rsid w:val="1B427936"/>
    <w:rsid w:val="1B5D3106"/>
    <w:rsid w:val="1B7906CE"/>
    <w:rsid w:val="1B7D07F3"/>
    <w:rsid w:val="1B831B2B"/>
    <w:rsid w:val="1B9219EE"/>
    <w:rsid w:val="1B944685"/>
    <w:rsid w:val="1B9B3AD0"/>
    <w:rsid w:val="1BA258AE"/>
    <w:rsid w:val="1BA55BAE"/>
    <w:rsid w:val="1BA57F07"/>
    <w:rsid w:val="1BAA3905"/>
    <w:rsid w:val="1BB01F6E"/>
    <w:rsid w:val="1BB806B9"/>
    <w:rsid w:val="1BB81DD8"/>
    <w:rsid w:val="1BB848C7"/>
    <w:rsid w:val="1BB86F3A"/>
    <w:rsid w:val="1BCA7505"/>
    <w:rsid w:val="1BD91032"/>
    <w:rsid w:val="1BDD2FB0"/>
    <w:rsid w:val="1BEF7D4B"/>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CF44A66"/>
    <w:rsid w:val="1D023336"/>
    <w:rsid w:val="1D031DDA"/>
    <w:rsid w:val="1D0B731D"/>
    <w:rsid w:val="1D1D6A68"/>
    <w:rsid w:val="1D1F1D0C"/>
    <w:rsid w:val="1D2054C4"/>
    <w:rsid w:val="1D24658B"/>
    <w:rsid w:val="1D2E77E8"/>
    <w:rsid w:val="1D4969F4"/>
    <w:rsid w:val="1D4C117F"/>
    <w:rsid w:val="1D513E68"/>
    <w:rsid w:val="1D5527CC"/>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E093D7D"/>
    <w:rsid w:val="1E1D7E95"/>
    <w:rsid w:val="1E201A27"/>
    <w:rsid w:val="1E224747"/>
    <w:rsid w:val="1E304B88"/>
    <w:rsid w:val="1E3E02E7"/>
    <w:rsid w:val="1E56227E"/>
    <w:rsid w:val="1E645DE1"/>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36000"/>
    <w:rsid w:val="1EC80437"/>
    <w:rsid w:val="1ED15DFD"/>
    <w:rsid w:val="1ED874EC"/>
    <w:rsid w:val="1ED94E25"/>
    <w:rsid w:val="1EDB6C5F"/>
    <w:rsid w:val="1EE36B24"/>
    <w:rsid w:val="1EE6740D"/>
    <w:rsid w:val="1EEC1621"/>
    <w:rsid w:val="1EED7A29"/>
    <w:rsid w:val="1EFC15D3"/>
    <w:rsid w:val="1F032258"/>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22E52"/>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67B9"/>
    <w:rsid w:val="20F82620"/>
    <w:rsid w:val="20F90A4D"/>
    <w:rsid w:val="20FB7568"/>
    <w:rsid w:val="21065641"/>
    <w:rsid w:val="210D2CDA"/>
    <w:rsid w:val="211C7EF8"/>
    <w:rsid w:val="212F6A59"/>
    <w:rsid w:val="21306305"/>
    <w:rsid w:val="21330562"/>
    <w:rsid w:val="21361B20"/>
    <w:rsid w:val="213B2C5F"/>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E960F6"/>
    <w:rsid w:val="21F54612"/>
    <w:rsid w:val="21FF71D8"/>
    <w:rsid w:val="22021B37"/>
    <w:rsid w:val="2209399D"/>
    <w:rsid w:val="22101F8E"/>
    <w:rsid w:val="221E498F"/>
    <w:rsid w:val="2225227E"/>
    <w:rsid w:val="222E6801"/>
    <w:rsid w:val="222F381A"/>
    <w:rsid w:val="22315922"/>
    <w:rsid w:val="22343124"/>
    <w:rsid w:val="223A4334"/>
    <w:rsid w:val="22452EB5"/>
    <w:rsid w:val="224E39DE"/>
    <w:rsid w:val="224E74D0"/>
    <w:rsid w:val="225C1E49"/>
    <w:rsid w:val="22713317"/>
    <w:rsid w:val="227F5037"/>
    <w:rsid w:val="228041D7"/>
    <w:rsid w:val="228A008B"/>
    <w:rsid w:val="228A2082"/>
    <w:rsid w:val="228D63FC"/>
    <w:rsid w:val="229A7E25"/>
    <w:rsid w:val="229F2E1B"/>
    <w:rsid w:val="22AA0362"/>
    <w:rsid w:val="22AA773F"/>
    <w:rsid w:val="22B059F5"/>
    <w:rsid w:val="22B06BDB"/>
    <w:rsid w:val="22B63FB8"/>
    <w:rsid w:val="22BA2D5C"/>
    <w:rsid w:val="22BA6F2B"/>
    <w:rsid w:val="22BC7DF2"/>
    <w:rsid w:val="22BD19A6"/>
    <w:rsid w:val="22BD504B"/>
    <w:rsid w:val="22C85116"/>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F0F84"/>
    <w:rsid w:val="23415924"/>
    <w:rsid w:val="23437735"/>
    <w:rsid w:val="23445574"/>
    <w:rsid w:val="23566DDF"/>
    <w:rsid w:val="23572E7E"/>
    <w:rsid w:val="235924CA"/>
    <w:rsid w:val="23592D87"/>
    <w:rsid w:val="235F162F"/>
    <w:rsid w:val="23673863"/>
    <w:rsid w:val="236A053E"/>
    <w:rsid w:val="236D4F13"/>
    <w:rsid w:val="23752F81"/>
    <w:rsid w:val="237B7D6C"/>
    <w:rsid w:val="23837B67"/>
    <w:rsid w:val="23857493"/>
    <w:rsid w:val="23866D30"/>
    <w:rsid w:val="238755B6"/>
    <w:rsid w:val="23885214"/>
    <w:rsid w:val="238B65DE"/>
    <w:rsid w:val="239130F2"/>
    <w:rsid w:val="239B728F"/>
    <w:rsid w:val="23AE6E9E"/>
    <w:rsid w:val="23BD6F6C"/>
    <w:rsid w:val="23C43EC9"/>
    <w:rsid w:val="23C62FD3"/>
    <w:rsid w:val="23C80F4A"/>
    <w:rsid w:val="23CE5D21"/>
    <w:rsid w:val="23D160BB"/>
    <w:rsid w:val="23D33566"/>
    <w:rsid w:val="23D9762E"/>
    <w:rsid w:val="23DF2C6B"/>
    <w:rsid w:val="23E52298"/>
    <w:rsid w:val="23F06611"/>
    <w:rsid w:val="23FF2778"/>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8E5674"/>
    <w:rsid w:val="249A5E20"/>
    <w:rsid w:val="249C2676"/>
    <w:rsid w:val="249C6208"/>
    <w:rsid w:val="249E39E8"/>
    <w:rsid w:val="24A20ED0"/>
    <w:rsid w:val="24A34E4A"/>
    <w:rsid w:val="24AC41BF"/>
    <w:rsid w:val="24B413B4"/>
    <w:rsid w:val="24B631A8"/>
    <w:rsid w:val="24B93780"/>
    <w:rsid w:val="24BD38BA"/>
    <w:rsid w:val="24C0685F"/>
    <w:rsid w:val="24CD6DBE"/>
    <w:rsid w:val="24D20A06"/>
    <w:rsid w:val="24D51CDF"/>
    <w:rsid w:val="24E57853"/>
    <w:rsid w:val="24F04EC4"/>
    <w:rsid w:val="24F17428"/>
    <w:rsid w:val="250253B9"/>
    <w:rsid w:val="2502675F"/>
    <w:rsid w:val="250C5C6A"/>
    <w:rsid w:val="25176627"/>
    <w:rsid w:val="251E0656"/>
    <w:rsid w:val="252053F9"/>
    <w:rsid w:val="252451A8"/>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64403"/>
    <w:rsid w:val="25EB7CD4"/>
    <w:rsid w:val="25F04B7D"/>
    <w:rsid w:val="25F51596"/>
    <w:rsid w:val="25F67042"/>
    <w:rsid w:val="25F6775D"/>
    <w:rsid w:val="25FD3106"/>
    <w:rsid w:val="26070026"/>
    <w:rsid w:val="260A55DA"/>
    <w:rsid w:val="260B255C"/>
    <w:rsid w:val="2611495B"/>
    <w:rsid w:val="2618762A"/>
    <w:rsid w:val="26217848"/>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DB0EE3"/>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9419F"/>
    <w:rsid w:val="274A7B1A"/>
    <w:rsid w:val="275439E1"/>
    <w:rsid w:val="275658F1"/>
    <w:rsid w:val="276320D7"/>
    <w:rsid w:val="276F3D3A"/>
    <w:rsid w:val="27744B4E"/>
    <w:rsid w:val="278A6416"/>
    <w:rsid w:val="279408D2"/>
    <w:rsid w:val="279A2ED3"/>
    <w:rsid w:val="27A23025"/>
    <w:rsid w:val="27A46397"/>
    <w:rsid w:val="27B02558"/>
    <w:rsid w:val="27B03EC1"/>
    <w:rsid w:val="27B91021"/>
    <w:rsid w:val="27BB0165"/>
    <w:rsid w:val="27BE7449"/>
    <w:rsid w:val="27C06D17"/>
    <w:rsid w:val="27C66099"/>
    <w:rsid w:val="27CA7CDA"/>
    <w:rsid w:val="27FE4240"/>
    <w:rsid w:val="280008FF"/>
    <w:rsid w:val="28050D91"/>
    <w:rsid w:val="280B0292"/>
    <w:rsid w:val="281035C6"/>
    <w:rsid w:val="28140E2A"/>
    <w:rsid w:val="28251AF8"/>
    <w:rsid w:val="28255041"/>
    <w:rsid w:val="28293346"/>
    <w:rsid w:val="283832F0"/>
    <w:rsid w:val="283A1E3E"/>
    <w:rsid w:val="284543A1"/>
    <w:rsid w:val="28553E1D"/>
    <w:rsid w:val="2866568E"/>
    <w:rsid w:val="28693318"/>
    <w:rsid w:val="286B3B61"/>
    <w:rsid w:val="28765DD5"/>
    <w:rsid w:val="28821314"/>
    <w:rsid w:val="288C67BD"/>
    <w:rsid w:val="2891501A"/>
    <w:rsid w:val="28937E6D"/>
    <w:rsid w:val="28A66523"/>
    <w:rsid w:val="28AD2029"/>
    <w:rsid w:val="28AE4FA7"/>
    <w:rsid w:val="28B220F4"/>
    <w:rsid w:val="28BD44AE"/>
    <w:rsid w:val="28C075A4"/>
    <w:rsid w:val="28CE2A8C"/>
    <w:rsid w:val="28D139F1"/>
    <w:rsid w:val="28D5169B"/>
    <w:rsid w:val="28DA6C60"/>
    <w:rsid w:val="28DB0A30"/>
    <w:rsid w:val="28F33F0D"/>
    <w:rsid w:val="28F72DB8"/>
    <w:rsid w:val="28F925C2"/>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306D9"/>
    <w:rsid w:val="2994709A"/>
    <w:rsid w:val="29981CF5"/>
    <w:rsid w:val="29A4634A"/>
    <w:rsid w:val="29A84DD1"/>
    <w:rsid w:val="29AA2390"/>
    <w:rsid w:val="29B301F6"/>
    <w:rsid w:val="29B85AFC"/>
    <w:rsid w:val="29BB286D"/>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4D1001"/>
    <w:rsid w:val="2B592A46"/>
    <w:rsid w:val="2B5B7165"/>
    <w:rsid w:val="2B611B55"/>
    <w:rsid w:val="2B686C09"/>
    <w:rsid w:val="2B7950C4"/>
    <w:rsid w:val="2B795BD8"/>
    <w:rsid w:val="2B8759DF"/>
    <w:rsid w:val="2B8B34AB"/>
    <w:rsid w:val="2B914C5E"/>
    <w:rsid w:val="2BA252E6"/>
    <w:rsid w:val="2BA53554"/>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A937F1"/>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23D75"/>
    <w:rsid w:val="2D400A9F"/>
    <w:rsid w:val="2D540857"/>
    <w:rsid w:val="2D590555"/>
    <w:rsid w:val="2D640189"/>
    <w:rsid w:val="2D726428"/>
    <w:rsid w:val="2D7A06F1"/>
    <w:rsid w:val="2D8151A4"/>
    <w:rsid w:val="2DA02E9C"/>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371B9"/>
    <w:rsid w:val="2FAD4759"/>
    <w:rsid w:val="2FAD5866"/>
    <w:rsid w:val="2FB91323"/>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04028"/>
    <w:rsid w:val="3045713F"/>
    <w:rsid w:val="30486EA7"/>
    <w:rsid w:val="30500A5C"/>
    <w:rsid w:val="3067719D"/>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97ABC"/>
    <w:rsid w:val="311D5B14"/>
    <w:rsid w:val="31210E7A"/>
    <w:rsid w:val="312D1F98"/>
    <w:rsid w:val="31357B5D"/>
    <w:rsid w:val="313A7B85"/>
    <w:rsid w:val="313E22A6"/>
    <w:rsid w:val="31412F85"/>
    <w:rsid w:val="31454E97"/>
    <w:rsid w:val="314A019C"/>
    <w:rsid w:val="314E27D6"/>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B3EFC"/>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A2099"/>
    <w:rsid w:val="33FE4E44"/>
    <w:rsid w:val="34004C51"/>
    <w:rsid w:val="34087429"/>
    <w:rsid w:val="340B5F03"/>
    <w:rsid w:val="340F70DC"/>
    <w:rsid w:val="3411600B"/>
    <w:rsid w:val="341315B5"/>
    <w:rsid w:val="34147AA7"/>
    <w:rsid w:val="341808C3"/>
    <w:rsid w:val="34182B66"/>
    <w:rsid w:val="34260D3D"/>
    <w:rsid w:val="342D3CE2"/>
    <w:rsid w:val="34343D6C"/>
    <w:rsid w:val="34347DC5"/>
    <w:rsid w:val="34380493"/>
    <w:rsid w:val="34463967"/>
    <w:rsid w:val="344C08D2"/>
    <w:rsid w:val="344F194E"/>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81806"/>
    <w:rsid w:val="350B69C5"/>
    <w:rsid w:val="351B1F87"/>
    <w:rsid w:val="351C075B"/>
    <w:rsid w:val="35233F18"/>
    <w:rsid w:val="3524348B"/>
    <w:rsid w:val="35295D65"/>
    <w:rsid w:val="352B5169"/>
    <w:rsid w:val="35333FF2"/>
    <w:rsid w:val="353C4905"/>
    <w:rsid w:val="353C75ED"/>
    <w:rsid w:val="353E791E"/>
    <w:rsid w:val="354008AB"/>
    <w:rsid w:val="354966A2"/>
    <w:rsid w:val="354A0BF0"/>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84C88"/>
    <w:rsid w:val="35AB5D7D"/>
    <w:rsid w:val="35B31B82"/>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672AD"/>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00127"/>
    <w:rsid w:val="36B121C7"/>
    <w:rsid w:val="36B2486C"/>
    <w:rsid w:val="36B307B1"/>
    <w:rsid w:val="36B96A63"/>
    <w:rsid w:val="36BA14F4"/>
    <w:rsid w:val="36D009E5"/>
    <w:rsid w:val="36D27C18"/>
    <w:rsid w:val="36D512A9"/>
    <w:rsid w:val="36D934D3"/>
    <w:rsid w:val="36D94280"/>
    <w:rsid w:val="36DE2053"/>
    <w:rsid w:val="36E07ED3"/>
    <w:rsid w:val="36E619DE"/>
    <w:rsid w:val="36F414F3"/>
    <w:rsid w:val="37002C93"/>
    <w:rsid w:val="370974B4"/>
    <w:rsid w:val="371A5A8E"/>
    <w:rsid w:val="371B03AE"/>
    <w:rsid w:val="371E6151"/>
    <w:rsid w:val="37277663"/>
    <w:rsid w:val="372A07F2"/>
    <w:rsid w:val="37357964"/>
    <w:rsid w:val="37372090"/>
    <w:rsid w:val="373D6F58"/>
    <w:rsid w:val="37446333"/>
    <w:rsid w:val="37446A77"/>
    <w:rsid w:val="374B17E7"/>
    <w:rsid w:val="374D0B20"/>
    <w:rsid w:val="37557969"/>
    <w:rsid w:val="3756203C"/>
    <w:rsid w:val="375D4473"/>
    <w:rsid w:val="37615F3C"/>
    <w:rsid w:val="376B106B"/>
    <w:rsid w:val="377963D6"/>
    <w:rsid w:val="37840F0B"/>
    <w:rsid w:val="37866279"/>
    <w:rsid w:val="378772DD"/>
    <w:rsid w:val="378A731A"/>
    <w:rsid w:val="378E3617"/>
    <w:rsid w:val="37931A90"/>
    <w:rsid w:val="37A4082B"/>
    <w:rsid w:val="37A4627C"/>
    <w:rsid w:val="37A530D5"/>
    <w:rsid w:val="37A643C8"/>
    <w:rsid w:val="37AE534B"/>
    <w:rsid w:val="37B1214B"/>
    <w:rsid w:val="37B336FE"/>
    <w:rsid w:val="37B5292C"/>
    <w:rsid w:val="37BA6351"/>
    <w:rsid w:val="37BB791D"/>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8A53E5"/>
    <w:rsid w:val="389121D9"/>
    <w:rsid w:val="38913DAB"/>
    <w:rsid w:val="38981AB5"/>
    <w:rsid w:val="38A30506"/>
    <w:rsid w:val="38A40C18"/>
    <w:rsid w:val="38A433DE"/>
    <w:rsid w:val="38A54707"/>
    <w:rsid w:val="38A61C5A"/>
    <w:rsid w:val="38AB306B"/>
    <w:rsid w:val="38B9506E"/>
    <w:rsid w:val="38BF2270"/>
    <w:rsid w:val="38C0788B"/>
    <w:rsid w:val="38C33701"/>
    <w:rsid w:val="38C43916"/>
    <w:rsid w:val="38D05F26"/>
    <w:rsid w:val="38D124F5"/>
    <w:rsid w:val="38D504F4"/>
    <w:rsid w:val="38D95A84"/>
    <w:rsid w:val="38E11AA1"/>
    <w:rsid w:val="38E166D4"/>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CA414A"/>
    <w:rsid w:val="39D3749A"/>
    <w:rsid w:val="39D5434E"/>
    <w:rsid w:val="39DA738E"/>
    <w:rsid w:val="39DC3D4A"/>
    <w:rsid w:val="39DD49C2"/>
    <w:rsid w:val="39DD4ACE"/>
    <w:rsid w:val="39E02BA8"/>
    <w:rsid w:val="39E70CEA"/>
    <w:rsid w:val="39E9070B"/>
    <w:rsid w:val="39EC7454"/>
    <w:rsid w:val="39F0711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4931"/>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25EAC"/>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74B7E"/>
    <w:rsid w:val="3C9E64A0"/>
    <w:rsid w:val="3CA41337"/>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2796"/>
    <w:rsid w:val="3CFE44BF"/>
    <w:rsid w:val="3D035272"/>
    <w:rsid w:val="3D0B7E6F"/>
    <w:rsid w:val="3D0F1231"/>
    <w:rsid w:val="3D163A6F"/>
    <w:rsid w:val="3D184661"/>
    <w:rsid w:val="3D200D7C"/>
    <w:rsid w:val="3D233D0C"/>
    <w:rsid w:val="3D272F24"/>
    <w:rsid w:val="3D3662C4"/>
    <w:rsid w:val="3D47670E"/>
    <w:rsid w:val="3D4A3942"/>
    <w:rsid w:val="3D4D7CF8"/>
    <w:rsid w:val="3D58163A"/>
    <w:rsid w:val="3D5A05E2"/>
    <w:rsid w:val="3D5C63D4"/>
    <w:rsid w:val="3D5E50E6"/>
    <w:rsid w:val="3D5F6029"/>
    <w:rsid w:val="3D611CC7"/>
    <w:rsid w:val="3D6223C0"/>
    <w:rsid w:val="3D641D7A"/>
    <w:rsid w:val="3D666282"/>
    <w:rsid w:val="3D7618FA"/>
    <w:rsid w:val="3D766E42"/>
    <w:rsid w:val="3D791797"/>
    <w:rsid w:val="3D807BCD"/>
    <w:rsid w:val="3D82057E"/>
    <w:rsid w:val="3D832B00"/>
    <w:rsid w:val="3D8522AA"/>
    <w:rsid w:val="3D8A0C19"/>
    <w:rsid w:val="3D9816B4"/>
    <w:rsid w:val="3D990197"/>
    <w:rsid w:val="3D9A0655"/>
    <w:rsid w:val="3DA22306"/>
    <w:rsid w:val="3DA41777"/>
    <w:rsid w:val="3DB17297"/>
    <w:rsid w:val="3DBB6C89"/>
    <w:rsid w:val="3DCD6921"/>
    <w:rsid w:val="3DD67156"/>
    <w:rsid w:val="3DD745F2"/>
    <w:rsid w:val="3DE37514"/>
    <w:rsid w:val="3DE548AC"/>
    <w:rsid w:val="3DE653F8"/>
    <w:rsid w:val="3DE72673"/>
    <w:rsid w:val="3DEB1255"/>
    <w:rsid w:val="3DEE1FBE"/>
    <w:rsid w:val="3E0448CB"/>
    <w:rsid w:val="3E06161F"/>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67FB0"/>
    <w:rsid w:val="3E680BF1"/>
    <w:rsid w:val="3E780453"/>
    <w:rsid w:val="3E7A1C88"/>
    <w:rsid w:val="3E844725"/>
    <w:rsid w:val="3E8B095A"/>
    <w:rsid w:val="3E8D66A1"/>
    <w:rsid w:val="3E8E6C82"/>
    <w:rsid w:val="3E942719"/>
    <w:rsid w:val="3E943FDD"/>
    <w:rsid w:val="3E964C29"/>
    <w:rsid w:val="3E9A19C5"/>
    <w:rsid w:val="3E9E1F00"/>
    <w:rsid w:val="3E9E3078"/>
    <w:rsid w:val="3EA644AB"/>
    <w:rsid w:val="3EAC3BDD"/>
    <w:rsid w:val="3EB767A1"/>
    <w:rsid w:val="3EBB7EC0"/>
    <w:rsid w:val="3EC31440"/>
    <w:rsid w:val="3EC5174F"/>
    <w:rsid w:val="3EC51CAD"/>
    <w:rsid w:val="3EC80A9D"/>
    <w:rsid w:val="3ECA3919"/>
    <w:rsid w:val="3ECB19D7"/>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5537F"/>
    <w:rsid w:val="3F2B184D"/>
    <w:rsid w:val="3F2C7646"/>
    <w:rsid w:val="3F2F01F0"/>
    <w:rsid w:val="3F3C6744"/>
    <w:rsid w:val="3F421D47"/>
    <w:rsid w:val="3F441B08"/>
    <w:rsid w:val="3F4A4087"/>
    <w:rsid w:val="3F5361F5"/>
    <w:rsid w:val="3F556D23"/>
    <w:rsid w:val="3F6B3632"/>
    <w:rsid w:val="3F6C22A1"/>
    <w:rsid w:val="3F776E0A"/>
    <w:rsid w:val="3F952814"/>
    <w:rsid w:val="3F9A0B36"/>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3FFC5EB3"/>
    <w:rsid w:val="400060F5"/>
    <w:rsid w:val="40073561"/>
    <w:rsid w:val="400A1CFC"/>
    <w:rsid w:val="401D6DEE"/>
    <w:rsid w:val="402079EB"/>
    <w:rsid w:val="40372C35"/>
    <w:rsid w:val="403870E4"/>
    <w:rsid w:val="403D7C5C"/>
    <w:rsid w:val="40400533"/>
    <w:rsid w:val="4049754C"/>
    <w:rsid w:val="404B2521"/>
    <w:rsid w:val="404F7DEB"/>
    <w:rsid w:val="40572DA6"/>
    <w:rsid w:val="405A424E"/>
    <w:rsid w:val="406A4EA4"/>
    <w:rsid w:val="406D461C"/>
    <w:rsid w:val="406F7D87"/>
    <w:rsid w:val="40734E04"/>
    <w:rsid w:val="407A5C67"/>
    <w:rsid w:val="407E5C46"/>
    <w:rsid w:val="407E651E"/>
    <w:rsid w:val="40825FDB"/>
    <w:rsid w:val="40836EAD"/>
    <w:rsid w:val="40907287"/>
    <w:rsid w:val="409238F2"/>
    <w:rsid w:val="40953EC0"/>
    <w:rsid w:val="409D027A"/>
    <w:rsid w:val="40AB3054"/>
    <w:rsid w:val="40AF2B72"/>
    <w:rsid w:val="40BD0FBD"/>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B36BA"/>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E06A10"/>
    <w:rsid w:val="42F84BF0"/>
    <w:rsid w:val="42F875D5"/>
    <w:rsid w:val="430A5FFD"/>
    <w:rsid w:val="43112BE5"/>
    <w:rsid w:val="43120C73"/>
    <w:rsid w:val="431B56C6"/>
    <w:rsid w:val="431C7B04"/>
    <w:rsid w:val="432466AA"/>
    <w:rsid w:val="432E5E21"/>
    <w:rsid w:val="43302B8C"/>
    <w:rsid w:val="4334749B"/>
    <w:rsid w:val="433C41B8"/>
    <w:rsid w:val="433D2335"/>
    <w:rsid w:val="433F57C3"/>
    <w:rsid w:val="43426A44"/>
    <w:rsid w:val="434660C5"/>
    <w:rsid w:val="434C52F7"/>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84267"/>
    <w:rsid w:val="44613B53"/>
    <w:rsid w:val="446912F9"/>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92DF3"/>
    <w:rsid w:val="44F82D0E"/>
    <w:rsid w:val="45125A3C"/>
    <w:rsid w:val="451C5E9C"/>
    <w:rsid w:val="45214561"/>
    <w:rsid w:val="452C5F0A"/>
    <w:rsid w:val="453579B0"/>
    <w:rsid w:val="4537667A"/>
    <w:rsid w:val="45385EDA"/>
    <w:rsid w:val="453F48AB"/>
    <w:rsid w:val="454036A6"/>
    <w:rsid w:val="45446179"/>
    <w:rsid w:val="454E0AAC"/>
    <w:rsid w:val="454E4F75"/>
    <w:rsid w:val="454E6B7A"/>
    <w:rsid w:val="45507D88"/>
    <w:rsid w:val="4551463D"/>
    <w:rsid w:val="45520426"/>
    <w:rsid w:val="45522E35"/>
    <w:rsid w:val="455A7708"/>
    <w:rsid w:val="456C4CA4"/>
    <w:rsid w:val="457736FF"/>
    <w:rsid w:val="45790DCE"/>
    <w:rsid w:val="457E31A2"/>
    <w:rsid w:val="458805E1"/>
    <w:rsid w:val="458B757C"/>
    <w:rsid w:val="458D679F"/>
    <w:rsid w:val="459026D9"/>
    <w:rsid w:val="45917B8A"/>
    <w:rsid w:val="459B634C"/>
    <w:rsid w:val="459F2381"/>
    <w:rsid w:val="45A74FA6"/>
    <w:rsid w:val="45B315CE"/>
    <w:rsid w:val="45B64B84"/>
    <w:rsid w:val="45C85EA2"/>
    <w:rsid w:val="45DA7E96"/>
    <w:rsid w:val="45E37678"/>
    <w:rsid w:val="45E526A6"/>
    <w:rsid w:val="45E56E31"/>
    <w:rsid w:val="45E66893"/>
    <w:rsid w:val="45E826B2"/>
    <w:rsid w:val="45F4334C"/>
    <w:rsid w:val="45F82939"/>
    <w:rsid w:val="460D3781"/>
    <w:rsid w:val="461F3EB3"/>
    <w:rsid w:val="46365246"/>
    <w:rsid w:val="46466453"/>
    <w:rsid w:val="464871AD"/>
    <w:rsid w:val="464E3AE9"/>
    <w:rsid w:val="465918B0"/>
    <w:rsid w:val="4662020E"/>
    <w:rsid w:val="466D3070"/>
    <w:rsid w:val="4671651F"/>
    <w:rsid w:val="467365EF"/>
    <w:rsid w:val="46787358"/>
    <w:rsid w:val="467929D1"/>
    <w:rsid w:val="4679494F"/>
    <w:rsid w:val="467A6815"/>
    <w:rsid w:val="467D41E0"/>
    <w:rsid w:val="46866306"/>
    <w:rsid w:val="46873172"/>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5072D"/>
    <w:rsid w:val="479766B4"/>
    <w:rsid w:val="479A472B"/>
    <w:rsid w:val="479D7800"/>
    <w:rsid w:val="47A240A4"/>
    <w:rsid w:val="47A60277"/>
    <w:rsid w:val="47AA1593"/>
    <w:rsid w:val="47B44BED"/>
    <w:rsid w:val="47BC3466"/>
    <w:rsid w:val="47D730B6"/>
    <w:rsid w:val="47DD6A91"/>
    <w:rsid w:val="47E62C82"/>
    <w:rsid w:val="47E9396D"/>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D0FDA"/>
    <w:rsid w:val="49224F55"/>
    <w:rsid w:val="49241D45"/>
    <w:rsid w:val="4929748F"/>
    <w:rsid w:val="492F1F4E"/>
    <w:rsid w:val="4935171C"/>
    <w:rsid w:val="49366254"/>
    <w:rsid w:val="493A0176"/>
    <w:rsid w:val="49432B91"/>
    <w:rsid w:val="494502AA"/>
    <w:rsid w:val="49535C21"/>
    <w:rsid w:val="495B528B"/>
    <w:rsid w:val="495C3370"/>
    <w:rsid w:val="496409A2"/>
    <w:rsid w:val="496926EA"/>
    <w:rsid w:val="496A5627"/>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9195F"/>
    <w:rsid w:val="49BA6924"/>
    <w:rsid w:val="49C20C6C"/>
    <w:rsid w:val="49CE0C89"/>
    <w:rsid w:val="49D93C20"/>
    <w:rsid w:val="49DA3FD3"/>
    <w:rsid w:val="49DA7AB7"/>
    <w:rsid w:val="49E028D9"/>
    <w:rsid w:val="49E46DD1"/>
    <w:rsid w:val="49FA57FE"/>
    <w:rsid w:val="4A0238A8"/>
    <w:rsid w:val="4A0573EC"/>
    <w:rsid w:val="4A06116C"/>
    <w:rsid w:val="4A070E8E"/>
    <w:rsid w:val="4A0864B3"/>
    <w:rsid w:val="4A09499E"/>
    <w:rsid w:val="4A14785B"/>
    <w:rsid w:val="4A175A09"/>
    <w:rsid w:val="4A235686"/>
    <w:rsid w:val="4A2E7749"/>
    <w:rsid w:val="4A381BA6"/>
    <w:rsid w:val="4A3926E2"/>
    <w:rsid w:val="4A4172CE"/>
    <w:rsid w:val="4A43236C"/>
    <w:rsid w:val="4A490CA8"/>
    <w:rsid w:val="4A4A176A"/>
    <w:rsid w:val="4A5370A6"/>
    <w:rsid w:val="4A5C4447"/>
    <w:rsid w:val="4A5C6983"/>
    <w:rsid w:val="4A652ED9"/>
    <w:rsid w:val="4A6C0FC7"/>
    <w:rsid w:val="4A6D7FF3"/>
    <w:rsid w:val="4A732739"/>
    <w:rsid w:val="4A7413BF"/>
    <w:rsid w:val="4A7D09F3"/>
    <w:rsid w:val="4A825AD9"/>
    <w:rsid w:val="4A840EFE"/>
    <w:rsid w:val="4A850C8F"/>
    <w:rsid w:val="4A8953AB"/>
    <w:rsid w:val="4A8B5CEB"/>
    <w:rsid w:val="4A95521B"/>
    <w:rsid w:val="4A970AB1"/>
    <w:rsid w:val="4A9A28DB"/>
    <w:rsid w:val="4AA456B8"/>
    <w:rsid w:val="4AA75186"/>
    <w:rsid w:val="4AAF1B3A"/>
    <w:rsid w:val="4AB113DF"/>
    <w:rsid w:val="4AB75FB2"/>
    <w:rsid w:val="4ABB3CDE"/>
    <w:rsid w:val="4AC4256B"/>
    <w:rsid w:val="4AC860DD"/>
    <w:rsid w:val="4AD162A8"/>
    <w:rsid w:val="4AD25C89"/>
    <w:rsid w:val="4AD768C6"/>
    <w:rsid w:val="4ADB1F1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56259"/>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56F7D"/>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308"/>
    <w:rsid w:val="4CDA21DD"/>
    <w:rsid w:val="4CE472E9"/>
    <w:rsid w:val="4CF04CFC"/>
    <w:rsid w:val="4CF05C74"/>
    <w:rsid w:val="4CF26BC3"/>
    <w:rsid w:val="4CFB51DB"/>
    <w:rsid w:val="4CFC3F2E"/>
    <w:rsid w:val="4D0F1680"/>
    <w:rsid w:val="4D1D6CA0"/>
    <w:rsid w:val="4D2609C6"/>
    <w:rsid w:val="4D282701"/>
    <w:rsid w:val="4D2A2C09"/>
    <w:rsid w:val="4D2F5C2A"/>
    <w:rsid w:val="4D33448A"/>
    <w:rsid w:val="4D3F4840"/>
    <w:rsid w:val="4D410392"/>
    <w:rsid w:val="4D422D07"/>
    <w:rsid w:val="4D427BBD"/>
    <w:rsid w:val="4D570519"/>
    <w:rsid w:val="4D5A2B9C"/>
    <w:rsid w:val="4D5C5732"/>
    <w:rsid w:val="4D62454B"/>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16D48"/>
    <w:rsid w:val="4E795FE9"/>
    <w:rsid w:val="4E797F06"/>
    <w:rsid w:val="4E8D3751"/>
    <w:rsid w:val="4E8D41BC"/>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2D49F8"/>
    <w:rsid w:val="4F36758C"/>
    <w:rsid w:val="4F376D93"/>
    <w:rsid w:val="4F3D4163"/>
    <w:rsid w:val="4F50208E"/>
    <w:rsid w:val="4F6E6F86"/>
    <w:rsid w:val="4F7278C6"/>
    <w:rsid w:val="4F764CC2"/>
    <w:rsid w:val="4F823D55"/>
    <w:rsid w:val="4F85034E"/>
    <w:rsid w:val="4F983E33"/>
    <w:rsid w:val="4F9B5328"/>
    <w:rsid w:val="4FA83EC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EE0035"/>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156A2"/>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638FF"/>
    <w:rsid w:val="549C6534"/>
    <w:rsid w:val="54A14490"/>
    <w:rsid w:val="54A153FA"/>
    <w:rsid w:val="54AB29C5"/>
    <w:rsid w:val="54AB36A1"/>
    <w:rsid w:val="54B171C4"/>
    <w:rsid w:val="54B61DA8"/>
    <w:rsid w:val="54B62C99"/>
    <w:rsid w:val="54C02685"/>
    <w:rsid w:val="54CC47C4"/>
    <w:rsid w:val="54DF688B"/>
    <w:rsid w:val="54E95643"/>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AB1B1D"/>
    <w:rsid w:val="55B403DD"/>
    <w:rsid w:val="55B511EE"/>
    <w:rsid w:val="55C0140E"/>
    <w:rsid w:val="55C529C2"/>
    <w:rsid w:val="55CC27C2"/>
    <w:rsid w:val="55CF48E7"/>
    <w:rsid w:val="55D0342A"/>
    <w:rsid w:val="55D50C9C"/>
    <w:rsid w:val="55D849A1"/>
    <w:rsid w:val="55E31A15"/>
    <w:rsid w:val="55E5367A"/>
    <w:rsid w:val="55E83D2F"/>
    <w:rsid w:val="55EE461A"/>
    <w:rsid w:val="55FE6BCF"/>
    <w:rsid w:val="56030BD3"/>
    <w:rsid w:val="560469FC"/>
    <w:rsid w:val="5609174E"/>
    <w:rsid w:val="56183D17"/>
    <w:rsid w:val="56214A7B"/>
    <w:rsid w:val="562E1F90"/>
    <w:rsid w:val="56363F00"/>
    <w:rsid w:val="56373380"/>
    <w:rsid w:val="563B616D"/>
    <w:rsid w:val="56436207"/>
    <w:rsid w:val="56456373"/>
    <w:rsid w:val="5655420D"/>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5F394E"/>
    <w:rsid w:val="57685F5D"/>
    <w:rsid w:val="57692A18"/>
    <w:rsid w:val="576D6DDF"/>
    <w:rsid w:val="57702374"/>
    <w:rsid w:val="57780ED4"/>
    <w:rsid w:val="577E3A90"/>
    <w:rsid w:val="57886A0D"/>
    <w:rsid w:val="57896321"/>
    <w:rsid w:val="578B78A1"/>
    <w:rsid w:val="579A7C07"/>
    <w:rsid w:val="579F309F"/>
    <w:rsid w:val="57A46FEE"/>
    <w:rsid w:val="57AA6E5C"/>
    <w:rsid w:val="57AF7168"/>
    <w:rsid w:val="57B02763"/>
    <w:rsid w:val="57B6547E"/>
    <w:rsid w:val="57BC3518"/>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879F6"/>
    <w:rsid w:val="5846366F"/>
    <w:rsid w:val="584654C9"/>
    <w:rsid w:val="58470241"/>
    <w:rsid w:val="58484F55"/>
    <w:rsid w:val="58563BF0"/>
    <w:rsid w:val="58590DD2"/>
    <w:rsid w:val="5863473D"/>
    <w:rsid w:val="586C2A31"/>
    <w:rsid w:val="586E1447"/>
    <w:rsid w:val="58753B69"/>
    <w:rsid w:val="5878285F"/>
    <w:rsid w:val="58783508"/>
    <w:rsid w:val="58785165"/>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9094784"/>
    <w:rsid w:val="590A2CFD"/>
    <w:rsid w:val="59267EF0"/>
    <w:rsid w:val="59376E4C"/>
    <w:rsid w:val="59421F7E"/>
    <w:rsid w:val="59424509"/>
    <w:rsid w:val="594935F2"/>
    <w:rsid w:val="594C2750"/>
    <w:rsid w:val="595C0946"/>
    <w:rsid w:val="595E5D41"/>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CC7D5A"/>
    <w:rsid w:val="59D2091A"/>
    <w:rsid w:val="59D906FD"/>
    <w:rsid w:val="59D96DAD"/>
    <w:rsid w:val="59DA6C9E"/>
    <w:rsid w:val="59E11C9B"/>
    <w:rsid w:val="59EB0D06"/>
    <w:rsid w:val="59F32024"/>
    <w:rsid w:val="59F44D39"/>
    <w:rsid w:val="59F511B7"/>
    <w:rsid w:val="59FF2F18"/>
    <w:rsid w:val="5A05470A"/>
    <w:rsid w:val="5A0640DE"/>
    <w:rsid w:val="5A0F06AB"/>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26DC1"/>
    <w:rsid w:val="5A73612A"/>
    <w:rsid w:val="5A7F6F98"/>
    <w:rsid w:val="5A8F76C1"/>
    <w:rsid w:val="5A921A04"/>
    <w:rsid w:val="5A9A0A66"/>
    <w:rsid w:val="5AA541CF"/>
    <w:rsid w:val="5AAF48E4"/>
    <w:rsid w:val="5AB44D53"/>
    <w:rsid w:val="5AB96041"/>
    <w:rsid w:val="5ABC4831"/>
    <w:rsid w:val="5ABC6BFA"/>
    <w:rsid w:val="5AC04083"/>
    <w:rsid w:val="5AC366EB"/>
    <w:rsid w:val="5AC43AE0"/>
    <w:rsid w:val="5AC4427C"/>
    <w:rsid w:val="5AD054B7"/>
    <w:rsid w:val="5AD149C0"/>
    <w:rsid w:val="5AD20D04"/>
    <w:rsid w:val="5AD510F0"/>
    <w:rsid w:val="5AF82FCA"/>
    <w:rsid w:val="5AF8657A"/>
    <w:rsid w:val="5AFE5C3F"/>
    <w:rsid w:val="5B000850"/>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791770"/>
    <w:rsid w:val="5B896F76"/>
    <w:rsid w:val="5B8F287C"/>
    <w:rsid w:val="5B9319B5"/>
    <w:rsid w:val="5B970D2E"/>
    <w:rsid w:val="5B975E5B"/>
    <w:rsid w:val="5B9C0984"/>
    <w:rsid w:val="5BA65080"/>
    <w:rsid w:val="5BA67637"/>
    <w:rsid w:val="5BA76A78"/>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266F5F"/>
    <w:rsid w:val="5C3B2DCF"/>
    <w:rsid w:val="5C500AF8"/>
    <w:rsid w:val="5C517866"/>
    <w:rsid w:val="5C523483"/>
    <w:rsid w:val="5C5348B4"/>
    <w:rsid w:val="5C5A4D2A"/>
    <w:rsid w:val="5C5E033F"/>
    <w:rsid w:val="5C6875EE"/>
    <w:rsid w:val="5C6F12DC"/>
    <w:rsid w:val="5C7A2919"/>
    <w:rsid w:val="5CBF4297"/>
    <w:rsid w:val="5CC43404"/>
    <w:rsid w:val="5CC93DAE"/>
    <w:rsid w:val="5CD31EE3"/>
    <w:rsid w:val="5CDD3D6B"/>
    <w:rsid w:val="5CE1654F"/>
    <w:rsid w:val="5CE47CF9"/>
    <w:rsid w:val="5CEB1D70"/>
    <w:rsid w:val="5CF45558"/>
    <w:rsid w:val="5CF70E19"/>
    <w:rsid w:val="5D00730C"/>
    <w:rsid w:val="5D072BC8"/>
    <w:rsid w:val="5D076525"/>
    <w:rsid w:val="5D0A3A75"/>
    <w:rsid w:val="5D160574"/>
    <w:rsid w:val="5D19384D"/>
    <w:rsid w:val="5D22473A"/>
    <w:rsid w:val="5D237B4C"/>
    <w:rsid w:val="5D2B5629"/>
    <w:rsid w:val="5D301CD3"/>
    <w:rsid w:val="5D315CEB"/>
    <w:rsid w:val="5D326462"/>
    <w:rsid w:val="5D340EDB"/>
    <w:rsid w:val="5D3926A3"/>
    <w:rsid w:val="5D3B59DF"/>
    <w:rsid w:val="5D473075"/>
    <w:rsid w:val="5D475E41"/>
    <w:rsid w:val="5D4822EE"/>
    <w:rsid w:val="5D5864DB"/>
    <w:rsid w:val="5D73393B"/>
    <w:rsid w:val="5D76353B"/>
    <w:rsid w:val="5D784379"/>
    <w:rsid w:val="5D7B3457"/>
    <w:rsid w:val="5D826C13"/>
    <w:rsid w:val="5D8B2715"/>
    <w:rsid w:val="5D8C20FA"/>
    <w:rsid w:val="5D8D250E"/>
    <w:rsid w:val="5D8F399C"/>
    <w:rsid w:val="5D8F6111"/>
    <w:rsid w:val="5D915AFD"/>
    <w:rsid w:val="5D9404A9"/>
    <w:rsid w:val="5D9A23F4"/>
    <w:rsid w:val="5D9F6617"/>
    <w:rsid w:val="5D9F7C74"/>
    <w:rsid w:val="5DA13A00"/>
    <w:rsid w:val="5DAE2E8C"/>
    <w:rsid w:val="5DAE7F3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A36A9B"/>
    <w:rsid w:val="5EA648E2"/>
    <w:rsid w:val="5EB32415"/>
    <w:rsid w:val="5EB52E6F"/>
    <w:rsid w:val="5EC25731"/>
    <w:rsid w:val="5EC94A60"/>
    <w:rsid w:val="5ED95EEE"/>
    <w:rsid w:val="5EE55DDE"/>
    <w:rsid w:val="5EF04AC4"/>
    <w:rsid w:val="5EF47473"/>
    <w:rsid w:val="5EFE064F"/>
    <w:rsid w:val="5F061DE5"/>
    <w:rsid w:val="5F09081F"/>
    <w:rsid w:val="5F1111AD"/>
    <w:rsid w:val="5F121A0D"/>
    <w:rsid w:val="5F143DC9"/>
    <w:rsid w:val="5F1B27DE"/>
    <w:rsid w:val="5F2C64A1"/>
    <w:rsid w:val="5F39582E"/>
    <w:rsid w:val="5F405CF4"/>
    <w:rsid w:val="5F45602C"/>
    <w:rsid w:val="5F4632C4"/>
    <w:rsid w:val="5F482400"/>
    <w:rsid w:val="5F4A58A7"/>
    <w:rsid w:val="5F527FC9"/>
    <w:rsid w:val="5F531ECF"/>
    <w:rsid w:val="5F546490"/>
    <w:rsid w:val="5F57147C"/>
    <w:rsid w:val="5F587105"/>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B041B1"/>
    <w:rsid w:val="5FB25387"/>
    <w:rsid w:val="5FBF3440"/>
    <w:rsid w:val="5FC53509"/>
    <w:rsid w:val="5FD20829"/>
    <w:rsid w:val="5FEB0680"/>
    <w:rsid w:val="5FF744A9"/>
    <w:rsid w:val="5FF76947"/>
    <w:rsid w:val="5FFB17C7"/>
    <w:rsid w:val="5FFE6C22"/>
    <w:rsid w:val="60000309"/>
    <w:rsid w:val="600B6B90"/>
    <w:rsid w:val="600C3224"/>
    <w:rsid w:val="600F6605"/>
    <w:rsid w:val="60143AD3"/>
    <w:rsid w:val="60281FCD"/>
    <w:rsid w:val="602876AC"/>
    <w:rsid w:val="60296FA7"/>
    <w:rsid w:val="603215F4"/>
    <w:rsid w:val="60362D54"/>
    <w:rsid w:val="603771DA"/>
    <w:rsid w:val="60480917"/>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32D4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207B"/>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01A81"/>
    <w:rsid w:val="620B2B74"/>
    <w:rsid w:val="620C4FA7"/>
    <w:rsid w:val="6210415F"/>
    <w:rsid w:val="62185165"/>
    <w:rsid w:val="621D66D4"/>
    <w:rsid w:val="62220209"/>
    <w:rsid w:val="622D780A"/>
    <w:rsid w:val="622E2CF4"/>
    <w:rsid w:val="622F5ABF"/>
    <w:rsid w:val="623659A6"/>
    <w:rsid w:val="623D0C68"/>
    <w:rsid w:val="62460FCD"/>
    <w:rsid w:val="62480FF0"/>
    <w:rsid w:val="624B14C1"/>
    <w:rsid w:val="624F0394"/>
    <w:rsid w:val="625A29D8"/>
    <w:rsid w:val="625B2CDA"/>
    <w:rsid w:val="625B47C2"/>
    <w:rsid w:val="62630C6B"/>
    <w:rsid w:val="627301E8"/>
    <w:rsid w:val="627F1671"/>
    <w:rsid w:val="62832CDB"/>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B93610"/>
    <w:rsid w:val="63C51AD9"/>
    <w:rsid w:val="63C54411"/>
    <w:rsid w:val="63C733FE"/>
    <w:rsid w:val="63CD27C8"/>
    <w:rsid w:val="63CD4C2D"/>
    <w:rsid w:val="63CF2629"/>
    <w:rsid w:val="63D40E51"/>
    <w:rsid w:val="63D85FCA"/>
    <w:rsid w:val="63DA1A42"/>
    <w:rsid w:val="63E263F4"/>
    <w:rsid w:val="63E418C9"/>
    <w:rsid w:val="63FB6EC6"/>
    <w:rsid w:val="63FD7654"/>
    <w:rsid w:val="640C2BB6"/>
    <w:rsid w:val="6411454E"/>
    <w:rsid w:val="643F3FFC"/>
    <w:rsid w:val="644A69BC"/>
    <w:rsid w:val="644C372C"/>
    <w:rsid w:val="645B5DC0"/>
    <w:rsid w:val="645D3A6B"/>
    <w:rsid w:val="646829E7"/>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B4340"/>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C6E17"/>
    <w:rsid w:val="65BD3777"/>
    <w:rsid w:val="65BE5ECC"/>
    <w:rsid w:val="65D64BB3"/>
    <w:rsid w:val="65D70270"/>
    <w:rsid w:val="65E91B08"/>
    <w:rsid w:val="65F5725F"/>
    <w:rsid w:val="65FC7EBA"/>
    <w:rsid w:val="66032E7B"/>
    <w:rsid w:val="66053581"/>
    <w:rsid w:val="660A19B0"/>
    <w:rsid w:val="661026AA"/>
    <w:rsid w:val="661635F6"/>
    <w:rsid w:val="661D3F49"/>
    <w:rsid w:val="66213A5C"/>
    <w:rsid w:val="6624683A"/>
    <w:rsid w:val="66251653"/>
    <w:rsid w:val="662D2EA4"/>
    <w:rsid w:val="662F2BB7"/>
    <w:rsid w:val="6631571B"/>
    <w:rsid w:val="66376C0F"/>
    <w:rsid w:val="663D054E"/>
    <w:rsid w:val="663F1AEB"/>
    <w:rsid w:val="66460692"/>
    <w:rsid w:val="6658158E"/>
    <w:rsid w:val="665D7C7E"/>
    <w:rsid w:val="66631FDD"/>
    <w:rsid w:val="66727620"/>
    <w:rsid w:val="66763EED"/>
    <w:rsid w:val="667930F9"/>
    <w:rsid w:val="6679372B"/>
    <w:rsid w:val="667B3C56"/>
    <w:rsid w:val="66923FF0"/>
    <w:rsid w:val="66953491"/>
    <w:rsid w:val="66980BF6"/>
    <w:rsid w:val="66A56CDB"/>
    <w:rsid w:val="66AD65FC"/>
    <w:rsid w:val="66B81454"/>
    <w:rsid w:val="66BE1292"/>
    <w:rsid w:val="66BF76F1"/>
    <w:rsid w:val="66D553C4"/>
    <w:rsid w:val="66D61A8D"/>
    <w:rsid w:val="66D93197"/>
    <w:rsid w:val="66DA3497"/>
    <w:rsid w:val="66DC5BF8"/>
    <w:rsid w:val="66E173F9"/>
    <w:rsid w:val="66E3226C"/>
    <w:rsid w:val="66E611A7"/>
    <w:rsid w:val="66E80EB0"/>
    <w:rsid w:val="66EC5E36"/>
    <w:rsid w:val="66F569E1"/>
    <w:rsid w:val="66F76034"/>
    <w:rsid w:val="67066C06"/>
    <w:rsid w:val="670E7B80"/>
    <w:rsid w:val="6713591F"/>
    <w:rsid w:val="67181932"/>
    <w:rsid w:val="67251D90"/>
    <w:rsid w:val="6726232E"/>
    <w:rsid w:val="672A4901"/>
    <w:rsid w:val="67331724"/>
    <w:rsid w:val="673360E2"/>
    <w:rsid w:val="67346319"/>
    <w:rsid w:val="674164C5"/>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C0155D"/>
    <w:rsid w:val="67C149C0"/>
    <w:rsid w:val="67C7427D"/>
    <w:rsid w:val="67CA7967"/>
    <w:rsid w:val="67CC38C5"/>
    <w:rsid w:val="67D9695E"/>
    <w:rsid w:val="67DC5CEA"/>
    <w:rsid w:val="67DF18A0"/>
    <w:rsid w:val="67E024C8"/>
    <w:rsid w:val="67E35B0A"/>
    <w:rsid w:val="67F0511C"/>
    <w:rsid w:val="67F5522D"/>
    <w:rsid w:val="67F73BC6"/>
    <w:rsid w:val="67FA14F3"/>
    <w:rsid w:val="6808339E"/>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2529F"/>
    <w:rsid w:val="685465AC"/>
    <w:rsid w:val="68650339"/>
    <w:rsid w:val="68651915"/>
    <w:rsid w:val="68670AE1"/>
    <w:rsid w:val="68695D37"/>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13225"/>
    <w:rsid w:val="69421566"/>
    <w:rsid w:val="69430240"/>
    <w:rsid w:val="694A6D5C"/>
    <w:rsid w:val="6951205B"/>
    <w:rsid w:val="6953741D"/>
    <w:rsid w:val="69552B47"/>
    <w:rsid w:val="6956014F"/>
    <w:rsid w:val="69646FF8"/>
    <w:rsid w:val="696D4544"/>
    <w:rsid w:val="696F3842"/>
    <w:rsid w:val="69731101"/>
    <w:rsid w:val="6974083C"/>
    <w:rsid w:val="697A6585"/>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14B0"/>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0F646C"/>
    <w:rsid w:val="6B21318E"/>
    <w:rsid w:val="6B285741"/>
    <w:rsid w:val="6B2C563E"/>
    <w:rsid w:val="6B340EF1"/>
    <w:rsid w:val="6B3D06AC"/>
    <w:rsid w:val="6B444BB7"/>
    <w:rsid w:val="6B447945"/>
    <w:rsid w:val="6B472052"/>
    <w:rsid w:val="6B4B2C3B"/>
    <w:rsid w:val="6B4D1E0A"/>
    <w:rsid w:val="6B4E4A00"/>
    <w:rsid w:val="6B5278F5"/>
    <w:rsid w:val="6B5A64D2"/>
    <w:rsid w:val="6B5B0A52"/>
    <w:rsid w:val="6B5B7CD6"/>
    <w:rsid w:val="6B5D2504"/>
    <w:rsid w:val="6B6C560D"/>
    <w:rsid w:val="6B705E52"/>
    <w:rsid w:val="6B73569F"/>
    <w:rsid w:val="6B735BFD"/>
    <w:rsid w:val="6B785D05"/>
    <w:rsid w:val="6B7F7BD7"/>
    <w:rsid w:val="6B846AF2"/>
    <w:rsid w:val="6B95396B"/>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4349E"/>
    <w:rsid w:val="6C155F31"/>
    <w:rsid w:val="6C206E21"/>
    <w:rsid w:val="6C263A06"/>
    <w:rsid w:val="6C2F3F0E"/>
    <w:rsid w:val="6C3A624E"/>
    <w:rsid w:val="6C3F4795"/>
    <w:rsid w:val="6C431738"/>
    <w:rsid w:val="6C442E2D"/>
    <w:rsid w:val="6C4B106D"/>
    <w:rsid w:val="6C505966"/>
    <w:rsid w:val="6C5D04BB"/>
    <w:rsid w:val="6C666C3C"/>
    <w:rsid w:val="6C6833E1"/>
    <w:rsid w:val="6C882F2E"/>
    <w:rsid w:val="6C8E4315"/>
    <w:rsid w:val="6C95615F"/>
    <w:rsid w:val="6CA94419"/>
    <w:rsid w:val="6CB242A2"/>
    <w:rsid w:val="6CB978DB"/>
    <w:rsid w:val="6CC818AD"/>
    <w:rsid w:val="6CD63E7E"/>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3F1D29"/>
    <w:rsid w:val="6D436625"/>
    <w:rsid w:val="6D4720E6"/>
    <w:rsid w:val="6D4A7F79"/>
    <w:rsid w:val="6D4B7436"/>
    <w:rsid w:val="6D4C6816"/>
    <w:rsid w:val="6D5E64E8"/>
    <w:rsid w:val="6D652ED0"/>
    <w:rsid w:val="6D662717"/>
    <w:rsid w:val="6D663299"/>
    <w:rsid w:val="6D770FC8"/>
    <w:rsid w:val="6D77343E"/>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941C7A"/>
    <w:rsid w:val="6EA13305"/>
    <w:rsid w:val="6EAB29FB"/>
    <w:rsid w:val="6EB32B7F"/>
    <w:rsid w:val="6EB46F18"/>
    <w:rsid w:val="6EB63507"/>
    <w:rsid w:val="6EBD4DFF"/>
    <w:rsid w:val="6EC23093"/>
    <w:rsid w:val="6EC23231"/>
    <w:rsid w:val="6EC310A5"/>
    <w:rsid w:val="6EC43237"/>
    <w:rsid w:val="6EC4673B"/>
    <w:rsid w:val="6EC73357"/>
    <w:rsid w:val="6EC737C7"/>
    <w:rsid w:val="6ED163C0"/>
    <w:rsid w:val="6ED266F7"/>
    <w:rsid w:val="6EE939F2"/>
    <w:rsid w:val="6F021829"/>
    <w:rsid w:val="6F08724A"/>
    <w:rsid w:val="6F094A35"/>
    <w:rsid w:val="6F14289F"/>
    <w:rsid w:val="6F162C84"/>
    <w:rsid w:val="6F2161ED"/>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700333CC"/>
    <w:rsid w:val="700C0460"/>
    <w:rsid w:val="701458A7"/>
    <w:rsid w:val="70152C7C"/>
    <w:rsid w:val="70170F2B"/>
    <w:rsid w:val="701830B7"/>
    <w:rsid w:val="701E2FAB"/>
    <w:rsid w:val="70206C25"/>
    <w:rsid w:val="702267D2"/>
    <w:rsid w:val="70291A05"/>
    <w:rsid w:val="70370653"/>
    <w:rsid w:val="70385F59"/>
    <w:rsid w:val="70387A8F"/>
    <w:rsid w:val="7048580E"/>
    <w:rsid w:val="70494AF1"/>
    <w:rsid w:val="704A6916"/>
    <w:rsid w:val="70555B90"/>
    <w:rsid w:val="70680AC8"/>
    <w:rsid w:val="70684400"/>
    <w:rsid w:val="706B6103"/>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6B11"/>
    <w:rsid w:val="70E47264"/>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522BD"/>
    <w:rsid w:val="71C061A0"/>
    <w:rsid w:val="71C2301C"/>
    <w:rsid w:val="71C45E90"/>
    <w:rsid w:val="71C96C07"/>
    <w:rsid w:val="71CD28DD"/>
    <w:rsid w:val="71D00811"/>
    <w:rsid w:val="71D774C5"/>
    <w:rsid w:val="71D8692F"/>
    <w:rsid w:val="71DA7C5F"/>
    <w:rsid w:val="71DE4C74"/>
    <w:rsid w:val="71E3397B"/>
    <w:rsid w:val="71E346E4"/>
    <w:rsid w:val="71E40635"/>
    <w:rsid w:val="71E56A62"/>
    <w:rsid w:val="71E767FC"/>
    <w:rsid w:val="71EF5D41"/>
    <w:rsid w:val="71F26295"/>
    <w:rsid w:val="71FC70DF"/>
    <w:rsid w:val="72046301"/>
    <w:rsid w:val="7205172D"/>
    <w:rsid w:val="72056436"/>
    <w:rsid w:val="720979A0"/>
    <w:rsid w:val="720F633E"/>
    <w:rsid w:val="72130B93"/>
    <w:rsid w:val="721C688B"/>
    <w:rsid w:val="72200AF0"/>
    <w:rsid w:val="722E7DFE"/>
    <w:rsid w:val="722F4FDB"/>
    <w:rsid w:val="7234638F"/>
    <w:rsid w:val="7235246C"/>
    <w:rsid w:val="723749D7"/>
    <w:rsid w:val="72432923"/>
    <w:rsid w:val="724D4B1D"/>
    <w:rsid w:val="724E54F1"/>
    <w:rsid w:val="7254202A"/>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2FE1580"/>
    <w:rsid w:val="7302733B"/>
    <w:rsid w:val="73036270"/>
    <w:rsid w:val="731649D2"/>
    <w:rsid w:val="731C28E7"/>
    <w:rsid w:val="7326097A"/>
    <w:rsid w:val="732A4A9B"/>
    <w:rsid w:val="733202B6"/>
    <w:rsid w:val="73343997"/>
    <w:rsid w:val="73370B0A"/>
    <w:rsid w:val="733C723A"/>
    <w:rsid w:val="733C7C6A"/>
    <w:rsid w:val="734B5563"/>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74326"/>
    <w:rsid w:val="73CE1997"/>
    <w:rsid w:val="73D260A7"/>
    <w:rsid w:val="73DB45F5"/>
    <w:rsid w:val="73DD3CB3"/>
    <w:rsid w:val="73DE1AB7"/>
    <w:rsid w:val="73EC7C9D"/>
    <w:rsid w:val="73EE6F0E"/>
    <w:rsid w:val="73F5257C"/>
    <w:rsid w:val="73F67B1C"/>
    <w:rsid w:val="73FF2CB2"/>
    <w:rsid w:val="7407051F"/>
    <w:rsid w:val="740C3DB9"/>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BE679D"/>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57629"/>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053CD"/>
    <w:rsid w:val="76894819"/>
    <w:rsid w:val="768D57E3"/>
    <w:rsid w:val="76932317"/>
    <w:rsid w:val="769525FE"/>
    <w:rsid w:val="76A53B61"/>
    <w:rsid w:val="76A56898"/>
    <w:rsid w:val="76A652D8"/>
    <w:rsid w:val="76B153BA"/>
    <w:rsid w:val="76BE7B18"/>
    <w:rsid w:val="76C72CA0"/>
    <w:rsid w:val="76CE1740"/>
    <w:rsid w:val="76ED0EF4"/>
    <w:rsid w:val="76F2295F"/>
    <w:rsid w:val="76F50A9F"/>
    <w:rsid w:val="76FD2D1D"/>
    <w:rsid w:val="770A4422"/>
    <w:rsid w:val="770F088C"/>
    <w:rsid w:val="77187F65"/>
    <w:rsid w:val="77284F7D"/>
    <w:rsid w:val="7729766A"/>
    <w:rsid w:val="772D35A6"/>
    <w:rsid w:val="772D3786"/>
    <w:rsid w:val="773A62B8"/>
    <w:rsid w:val="77422DC5"/>
    <w:rsid w:val="7743723B"/>
    <w:rsid w:val="77490C6C"/>
    <w:rsid w:val="774B3934"/>
    <w:rsid w:val="774D47BD"/>
    <w:rsid w:val="775352E9"/>
    <w:rsid w:val="77551F00"/>
    <w:rsid w:val="775B3D39"/>
    <w:rsid w:val="77650E66"/>
    <w:rsid w:val="776A53C0"/>
    <w:rsid w:val="77721E49"/>
    <w:rsid w:val="777B5F51"/>
    <w:rsid w:val="777D53E6"/>
    <w:rsid w:val="777E1FE2"/>
    <w:rsid w:val="778067C2"/>
    <w:rsid w:val="77847A56"/>
    <w:rsid w:val="7787055D"/>
    <w:rsid w:val="778F0D7D"/>
    <w:rsid w:val="778F49BD"/>
    <w:rsid w:val="779029BC"/>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2A738E"/>
    <w:rsid w:val="78306028"/>
    <w:rsid w:val="78316382"/>
    <w:rsid w:val="78355626"/>
    <w:rsid w:val="78375EBD"/>
    <w:rsid w:val="784151EC"/>
    <w:rsid w:val="784563AF"/>
    <w:rsid w:val="7849196F"/>
    <w:rsid w:val="78591903"/>
    <w:rsid w:val="787659AD"/>
    <w:rsid w:val="7880155A"/>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B4ABC"/>
    <w:rsid w:val="791C7612"/>
    <w:rsid w:val="79213934"/>
    <w:rsid w:val="79221399"/>
    <w:rsid w:val="792378FC"/>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6739D"/>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6E71A4"/>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B26FC"/>
    <w:rsid w:val="7AAE678B"/>
    <w:rsid w:val="7AB07C78"/>
    <w:rsid w:val="7AB514B2"/>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CA5583"/>
    <w:rsid w:val="7CCE5C78"/>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0391D"/>
    <w:rsid w:val="7D515EFA"/>
    <w:rsid w:val="7D635C6D"/>
    <w:rsid w:val="7D64087E"/>
    <w:rsid w:val="7D69117D"/>
    <w:rsid w:val="7D696CB2"/>
    <w:rsid w:val="7D7A555A"/>
    <w:rsid w:val="7D7F5298"/>
    <w:rsid w:val="7D8362BA"/>
    <w:rsid w:val="7D8B7B11"/>
    <w:rsid w:val="7DA0513E"/>
    <w:rsid w:val="7DA843EE"/>
    <w:rsid w:val="7DAB10BD"/>
    <w:rsid w:val="7DBF2E7A"/>
    <w:rsid w:val="7DCC7A63"/>
    <w:rsid w:val="7DD6739F"/>
    <w:rsid w:val="7DD7657D"/>
    <w:rsid w:val="7DDA6C39"/>
    <w:rsid w:val="7DE15552"/>
    <w:rsid w:val="7DE16744"/>
    <w:rsid w:val="7DEB2C44"/>
    <w:rsid w:val="7DF464FC"/>
    <w:rsid w:val="7DFE63E1"/>
    <w:rsid w:val="7E006A11"/>
    <w:rsid w:val="7E155622"/>
    <w:rsid w:val="7E1B272B"/>
    <w:rsid w:val="7E1C55F3"/>
    <w:rsid w:val="7E202566"/>
    <w:rsid w:val="7E222965"/>
    <w:rsid w:val="7E2E7D3F"/>
    <w:rsid w:val="7E330B2F"/>
    <w:rsid w:val="7E347694"/>
    <w:rsid w:val="7E3B5911"/>
    <w:rsid w:val="7E495416"/>
    <w:rsid w:val="7E497873"/>
    <w:rsid w:val="7E570488"/>
    <w:rsid w:val="7E573082"/>
    <w:rsid w:val="7E593C4C"/>
    <w:rsid w:val="7E5969EA"/>
    <w:rsid w:val="7E712F31"/>
    <w:rsid w:val="7E750E81"/>
    <w:rsid w:val="7E760C9A"/>
    <w:rsid w:val="7E761EFC"/>
    <w:rsid w:val="7E9044A6"/>
    <w:rsid w:val="7E922E52"/>
    <w:rsid w:val="7EA87297"/>
    <w:rsid w:val="7EAE1E9B"/>
    <w:rsid w:val="7EB43A90"/>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10AD0"/>
    <w:rsid w:val="7F536DE1"/>
    <w:rsid w:val="7F6339F7"/>
    <w:rsid w:val="7F8660CD"/>
    <w:rsid w:val="7F8A2E2C"/>
    <w:rsid w:val="7F963419"/>
    <w:rsid w:val="7F98528E"/>
    <w:rsid w:val="7FA069EC"/>
    <w:rsid w:val="7FA115A5"/>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2023-02-17T11:53:06Z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